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C67D5" w14:textId="0C34F09C" w:rsidR="00E8797D" w:rsidRPr="00552353" w:rsidRDefault="00552353" w:rsidP="00F01477">
      <w:pPr>
        <w:jc w:val="center"/>
        <w:rPr>
          <w:b/>
          <w:bCs/>
          <w:sz w:val="32"/>
          <w:szCs w:val="32"/>
          <w:lang w:val="en-US"/>
        </w:rPr>
      </w:pPr>
      <w:r>
        <w:rPr>
          <w:b/>
          <w:bCs/>
          <w:sz w:val="32"/>
          <w:szCs w:val="32"/>
          <w:lang w:val="en-US"/>
        </w:rPr>
        <w:t>TITLE OF THE REPORT</w:t>
      </w:r>
    </w:p>
    <w:p w14:paraId="0602F172" w14:textId="39F55584" w:rsidR="008D1109" w:rsidRPr="008D1109" w:rsidRDefault="008D1109" w:rsidP="00F01477">
      <w:pPr>
        <w:jc w:val="center"/>
        <w:rPr>
          <w:szCs w:val="28"/>
        </w:rPr>
      </w:pPr>
    </w:p>
    <w:p w14:paraId="13DE7E26" w14:textId="599A3F6F" w:rsidR="008D1109" w:rsidRDefault="008D1109" w:rsidP="00F01477">
      <w:pPr>
        <w:jc w:val="center"/>
        <w:rPr>
          <w:szCs w:val="28"/>
        </w:rPr>
      </w:pPr>
    </w:p>
    <w:p w14:paraId="0D80780B" w14:textId="0AA12BF6" w:rsidR="008D1109" w:rsidRPr="00552353" w:rsidRDefault="00F93532" w:rsidP="00F01477">
      <w:pPr>
        <w:jc w:val="center"/>
        <w:rPr>
          <w:b/>
          <w:bCs/>
          <w:sz w:val="32"/>
          <w:szCs w:val="32"/>
          <w:lang w:val="en-US"/>
        </w:rPr>
      </w:pPr>
      <w:r w:rsidRPr="00F93532">
        <w:rPr>
          <w:b/>
          <w:bCs/>
          <w:sz w:val="32"/>
          <w:szCs w:val="32"/>
          <w:lang w:val="en-US"/>
        </w:rPr>
        <w:t>Name</w:t>
      </w:r>
      <w:r w:rsidRPr="00F93532">
        <w:rPr>
          <w:b/>
          <w:bCs/>
          <w:sz w:val="32"/>
          <w:szCs w:val="32"/>
          <w:lang w:val="en"/>
        </w:rPr>
        <w:t xml:space="preserve"> and surname</w:t>
      </w:r>
      <w:r w:rsidRPr="00F93532">
        <w:rPr>
          <w:b/>
          <w:bCs/>
          <w:sz w:val="32"/>
          <w:szCs w:val="32"/>
          <w:lang w:val="en-US"/>
        </w:rPr>
        <w:t xml:space="preserve"> of the author in English</w:t>
      </w:r>
      <w:r w:rsidRPr="00F93532">
        <w:rPr>
          <w:b/>
          <w:bCs/>
          <w:sz w:val="32"/>
          <w:szCs w:val="32"/>
        </w:rPr>
        <w:t xml:space="preserve">, </w:t>
      </w:r>
      <w:r w:rsidRPr="00F93532">
        <w:rPr>
          <w:b/>
          <w:bCs/>
          <w:sz w:val="32"/>
          <w:szCs w:val="32"/>
          <w:lang w:val="en"/>
        </w:rPr>
        <w:t>Name and surname of the co-author</w:t>
      </w:r>
      <w:r w:rsidRPr="00F93532">
        <w:rPr>
          <w:b/>
          <w:bCs/>
          <w:sz w:val="32"/>
          <w:szCs w:val="32"/>
          <w:lang w:val="en-US"/>
        </w:rPr>
        <w:t xml:space="preserve"> in English</w:t>
      </w:r>
    </w:p>
    <w:p w14:paraId="5713E519" w14:textId="3148CC2C" w:rsidR="008D1109" w:rsidRDefault="008D1109" w:rsidP="00F01477">
      <w:pPr>
        <w:jc w:val="center"/>
        <w:rPr>
          <w:szCs w:val="28"/>
        </w:rPr>
      </w:pPr>
    </w:p>
    <w:p w14:paraId="142C5542" w14:textId="21B74F87" w:rsidR="00274819" w:rsidRDefault="00274819" w:rsidP="00F01477">
      <w:pPr>
        <w:jc w:val="center"/>
        <w:rPr>
          <w:szCs w:val="28"/>
          <w:lang w:val="en-US"/>
        </w:rPr>
      </w:pPr>
    </w:p>
    <w:p w14:paraId="1F3A38DD" w14:textId="141804E5" w:rsidR="00274819" w:rsidRPr="00274819" w:rsidRDefault="00274819" w:rsidP="004564D8">
      <w:pPr>
        <w:ind w:firstLine="567"/>
        <w:jc w:val="both"/>
        <w:rPr>
          <w:i/>
          <w:iCs/>
          <w:sz w:val="24"/>
          <w:lang w:val="en-US"/>
        </w:rPr>
      </w:pPr>
      <w:r>
        <w:rPr>
          <w:b/>
          <w:bCs/>
          <w:i/>
          <w:iCs/>
          <w:sz w:val="24"/>
          <w:lang w:val="en-US"/>
        </w:rPr>
        <w:t>Abstract:</w:t>
      </w:r>
      <w:r>
        <w:rPr>
          <w:i/>
          <w:iCs/>
          <w:sz w:val="24"/>
          <w:lang w:val="en-US"/>
        </w:rPr>
        <w:t xml:space="preserve"> Text of the abstract up to 500 characters</w:t>
      </w:r>
    </w:p>
    <w:p w14:paraId="42E0ACE4" w14:textId="405591FA" w:rsidR="00274819" w:rsidRPr="00274819" w:rsidRDefault="00274819" w:rsidP="004564D8">
      <w:pPr>
        <w:ind w:firstLine="567"/>
        <w:jc w:val="both"/>
        <w:rPr>
          <w:szCs w:val="28"/>
          <w:lang w:val="en-US"/>
        </w:rPr>
      </w:pPr>
    </w:p>
    <w:p w14:paraId="2DCDF3EC" w14:textId="50FC830C" w:rsidR="00274819" w:rsidRDefault="00274819" w:rsidP="004564D8">
      <w:pPr>
        <w:ind w:firstLine="567"/>
        <w:jc w:val="both"/>
        <w:rPr>
          <w:i/>
          <w:iCs/>
          <w:sz w:val="24"/>
          <w:lang w:val="en-US"/>
        </w:rPr>
      </w:pPr>
      <w:r w:rsidRPr="00274819">
        <w:rPr>
          <w:b/>
          <w:bCs/>
          <w:i/>
          <w:iCs/>
          <w:sz w:val="24"/>
          <w:lang w:val="en-US"/>
        </w:rPr>
        <w:t>Keywords:</w:t>
      </w:r>
      <w:r>
        <w:rPr>
          <w:i/>
          <w:iCs/>
          <w:sz w:val="24"/>
          <w:lang w:val="en-US"/>
        </w:rPr>
        <w:t xml:space="preserve"> keywords</w:t>
      </w:r>
    </w:p>
    <w:p w14:paraId="023C3CE7" w14:textId="118BCD8F" w:rsidR="00274819" w:rsidRDefault="00274819" w:rsidP="004564D8">
      <w:pPr>
        <w:ind w:firstLine="567"/>
        <w:rPr>
          <w:szCs w:val="28"/>
          <w:lang w:val="en-US"/>
        </w:rPr>
      </w:pPr>
    </w:p>
    <w:p w14:paraId="3B59B1E1" w14:textId="77777777" w:rsidR="00793CC0" w:rsidRDefault="00793CC0" w:rsidP="004564D8">
      <w:pPr>
        <w:ind w:firstLine="567"/>
        <w:rPr>
          <w:szCs w:val="28"/>
          <w:lang w:val="en-US"/>
        </w:rPr>
      </w:pPr>
    </w:p>
    <w:p w14:paraId="7F42995A" w14:textId="64B1C938" w:rsidR="00274819" w:rsidRDefault="00552353" w:rsidP="004564D8">
      <w:pPr>
        <w:ind w:firstLine="567"/>
        <w:jc w:val="both"/>
        <w:rPr>
          <w:szCs w:val="28"/>
        </w:rPr>
      </w:pPr>
      <w:r>
        <w:rPr>
          <w:szCs w:val="28"/>
          <w:lang w:val="en-US"/>
        </w:rPr>
        <w:t>Text of the report</w:t>
      </w:r>
      <w:r w:rsidR="00274819">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[1]</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 [2]</w:t>
      </w:r>
      <w:r w:rsidR="00F93532" w:rsidRPr="00F93532">
        <w:rPr>
          <w:szCs w:val="28"/>
        </w:rPr>
        <w:t xml:space="preserve">, </w:t>
      </w:r>
      <w:r w:rsidR="00F93532" w:rsidRPr="00F93532">
        <w:rPr>
          <w:szCs w:val="28"/>
          <w:lang w:val="en-US"/>
        </w:rPr>
        <w:t>text of the report</w:t>
      </w:r>
      <w:r w:rsidR="00F93532" w:rsidRPr="00F93532">
        <w:rPr>
          <w:szCs w:val="28"/>
        </w:rPr>
        <w:t xml:space="preserve">, </w:t>
      </w:r>
      <w:r w:rsidR="00F93532" w:rsidRPr="00F93532">
        <w:rPr>
          <w:szCs w:val="28"/>
          <w:lang w:val="en-US"/>
        </w:rPr>
        <w:t>text of the report [3]</w:t>
      </w:r>
      <w:r w:rsidR="00F93532" w:rsidRPr="00F93532">
        <w:rPr>
          <w:szCs w:val="28"/>
        </w:rPr>
        <w:t>.</w:t>
      </w:r>
    </w:p>
    <w:p w14:paraId="13814D00" w14:textId="722F44F1" w:rsidR="00F93532" w:rsidRDefault="00EF27EB" w:rsidP="004564D8">
      <w:pPr>
        <w:ind w:firstLine="567"/>
        <w:jc w:val="both"/>
        <w:rPr>
          <w:szCs w:val="28"/>
          <w:lang w:val="en"/>
        </w:rPr>
      </w:pPr>
      <w:r w:rsidRPr="00EF27EB">
        <w:rPr>
          <w:szCs w:val="28"/>
          <w:lang w:val="en"/>
        </w:rPr>
        <w:t>Equations and formulas should be on a new line, indented, and separated from the rest of the text by extra space.</w:t>
      </w:r>
    </w:p>
    <w:p w14:paraId="1A74C9BD" w14:textId="4222D934" w:rsidR="00EF27EB" w:rsidRDefault="00EF27EB" w:rsidP="004564D8">
      <w:pPr>
        <w:ind w:firstLine="567"/>
        <w:jc w:val="both"/>
        <w:rPr>
          <w:szCs w:val="28"/>
          <w:lang w:val="en"/>
        </w:rPr>
      </w:pPr>
      <w:r w:rsidRPr="00EF27EB">
        <w:rPr>
          <w:szCs w:val="28"/>
          <w:lang w:val="en"/>
        </w:rPr>
        <w:t>If the formulas are very short, they can also be placed in the text, leaving extra space before and after them.</w:t>
      </w:r>
    </w:p>
    <w:p w14:paraId="4DF3680C" w14:textId="07B1358D" w:rsidR="00EF27EB" w:rsidRDefault="00EF27EB" w:rsidP="004564D8">
      <w:pPr>
        <w:ind w:firstLine="567"/>
        <w:jc w:val="both"/>
        <w:rPr>
          <w:szCs w:val="28"/>
          <w:lang w:val="en"/>
        </w:rPr>
      </w:pPr>
      <w:r w:rsidRPr="00EF27EB">
        <w:rPr>
          <w:szCs w:val="28"/>
          <w:lang w:val="en"/>
        </w:rPr>
        <w:t>If there are several equations and formulas, they should be numbered consecutively with numbers in parentheses placed at the far right of the line.</w:t>
      </w:r>
    </w:p>
    <w:p w14:paraId="34601D91" w14:textId="665B181E" w:rsidR="00EF27EB" w:rsidRDefault="00EF27EB" w:rsidP="004564D8">
      <w:pPr>
        <w:ind w:firstLine="567"/>
        <w:jc w:val="both"/>
        <w:rPr>
          <w:szCs w:val="28"/>
          <w:lang w:val="en"/>
        </w:rPr>
      </w:pPr>
    </w:p>
    <w:p w14:paraId="5B75C4A9" w14:textId="1DF999ED" w:rsidR="00EF27EB" w:rsidRPr="00EF27EB" w:rsidRDefault="00EF27EB" w:rsidP="00EF27EB">
      <w:pPr>
        <w:ind w:firstLine="567"/>
        <w:jc w:val="both"/>
        <w:rPr>
          <w:szCs w:val="28"/>
          <w:lang w:val="en" w:bidi="bg-BG"/>
        </w:rPr>
      </w:pPr>
      <w:r w:rsidRPr="00EF27EB">
        <w:rPr>
          <w:szCs w:val="28"/>
          <w:lang w:val="en" w:bidi="bg-BG"/>
        </w:rPr>
        <w:t>EXAMPLE:</w:t>
      </w:r>
    </w:p>
    <w:p w14:paraId="4FB92BF0" w14:textId="500663B5" w:rsidR="00EF27EB" w:rsidRDefault="00EF27EB" w:rsidP="00EF27EB">
      <w:pPr>
        <w:ind w:firstLine="567"/>
        <w:jc w:val="both"/>
        <w:rPr>
          <w:szCs w:val="28"/>
          <w:lang w:val="en"/>
        </w:rPr>
      </w:pPr>
      <w:r w:rsidRPr="00EF27EB">
        <w:rPr>
          <w:i/>
          <w:iCs/>
          <w:szCs w:val="28"/>
        </w:rPr>
        <w:t>W</w:t>
      </w:r>
      <w:r w:rsidRPr="00EF27EB">
        <w:rPr>
          <w:szCs w:val="28"/>
        </w:rPr>
        <w:t xml:space="preserve">1 </w:t>
      </w:r>
      <w:r w:rsidRPr="00EF27EB">
        <w:rPr>
          <w:i/>
          <w:iCs/>
          <w:szCs w:val="28"/>
          <w:lang w:val="en" w:bidi="bg-BG"/>
        </w:rPr>
        <w:t>= и</w:t>
      </w:r>
      <w:r w:rsidRPr="00EF27EB">
        <w:rPr>
          <w:szCs w:val="28"/>
          <w:lang w:val="en" w:bidi="bg-BG"/>
        </w:rPr>
        <w:t xml:space="preserve"> 11 - </w:t>
      </w:r>
      <w:r w:rsidRPr="00EF27EB">
        <w:rPr>
          <w:i/>
          <w:iCs/>
          <w:szCs w:val="28"/>
          <w:lang w:val="en" w:bidi="bg-BG"/>
        </w:rPr>
        <w:t>и</w:t>
      </w:r>
      <w:r w:rsidRPr="00EF27EB">
        <w:rPr>
          <w:szCs w:val="28"/>
          <w:lang w:val="en" w:bidi="bg-BG"/>
        </w:rPr>
        <w:t xml:space="preserve"> </w:t>
      </w:r>
      <w:r w:rsidRPr="00EF27EB">
        <w:rPr>
          <w:szCs w:val="28"/>
          <w:vertAlign w:val="subscript"/>
          <w:lang w:val="en" w:bidi="bg-BG"/>
        </w:rPr>
        <w:t>12</w:t>
      </w:r>
      <w:r w:rsidRPr="00EF27EB">
        <w:rPr>
          <w:i/>
          <w:iCs/>
          <w:szCs w:val="28"/>
          <w:lang w:val="en" w:bidi="bg-BG"/>
        </w:rPr>
        <w:t>и</w:t>
      </w:r>
      <w:r w:rsidRPr="00EF27EB">
        <w:rPr>
          <w:szCs w:val="28"/>
          <w:vertAlign w:val="subscript"/>
          <w:lang w:val="en" w:bidi="bg-BG"/>
        </w:rPr>
        <w:t>21</w:t>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 w:bidi="bg-BG"/>
        </w:rPr>
        <w:tab/>
      </w:r>
      <w:r w:rsidRPr="00EF27EB">
        <w:rPr>
          <w:szCs w:val="28"/>
          <w:lang w:val="en-US"/>
        </w:rPr>
        <w:t xml:space="preserve"> </w:t>
      </w:r>
      <w:r w:rsidRPr="00EF27EB">
        <w:rPr>
          <w:szCs w:val="28"/>
          <w:lang w:val="en" w:bidi="bg-BG"/>
        </w:rPr>
        <w:t>....(5)</w:t>
      </w:r>
    </w:p>
    <w:p w14:paraId="1B596095" w14:textId="45767465" w:rsidR="00EF27EB" w:rsidRDefault="00EF27EB" w:rsidP="004564D8">
      <w:pPr>
        <w:ind w:firstLine="567"/>
        <w:jc w:val="both"/>
        <w:rPr>
          <w:szCs w:val="28"/>
          <w:lang w:val="en-US"/>
        </w:rPr>
      </w:pPr>
    </w:p>
    <w:p w14:paraId="6C5C2459" w14:textId="431A94F5" w:rsidR="00EF27EB" w:rsidRDefault="00EF27EB" w:rsidP="004564D8">
      <w:pPr>
        <w:ind w:firstLine="567"/>
        <w:jc w:val="both"/>
        <w:rPr>
          <w:szCs w:val="28"/>
          <w:lang w:val="en"/>
        </w:rPr>
      </w:pPr>
      <w:r w:rsidRPr="00EF27EB">
        <w:rPr>
          <w:szCs w:val="28"/>
          <w:lang w:val="en"/>
        </w:rPr>
        <w:t>If equations or formulas must be carried to another line, they are broken before the equal sign or after the addition, subtraction, multiplication, and division signs.</w:t>
      </w:r>
    </w:p>
    <w:p w14:paraId="6DD1433B" w14:textId="666A4086" w:rsidR="00EF27EB" w:rsidRDefault="00793CC0" w:rsidP="004564D8">
      <w:pPr>
        <w:ind w:firstLine="567"/>
        <w:jc w:val="both"/>
        <w:rPr>
          <w:szCs w:val="28"/>
          <w:lang w:val="en"/>
        </w:rPr>
      </w:pPr>
      <w:r w:rsidRPr="00793CC0">
        <w:rPr>
          <w:szCs w:val="28"/>
          <w:lang w:val="en"/>
        </w:rPr>
        <w:t>The characters in the text to refer to the equations and formulas should have the following form: equation (1), formula (2) or their equivalents in other languages.</w:t>
      </w:r>
    </w:p>
    <w:p w14:paraId="153A4154" w14:textId="666F6CF8" w:rsidR="00793CC0" w:rsidRDefault="00793CC0" w:rsidP="004564D8">
      <w:pPr>
        <w:ind w:firstLine="567"/>
        <w:jc w:val="both"/>
        <w:rPr>
          <w:szCs w:val="28"/>
          <w:lang w:val="en"/>
        </w:rPr>
      </w:pPr>
      <w:r w:rsidRPr="00793CC0">
        <w:rPr>
          <w:szCs w:val="28"/>
          <w:lang w:val="en"/>
        </w:rPr>
        <w:t>Illustrations such as drawings, diagrams, photographs, maps and tables should be placed near the first reference to them in the text. The caption of the table must be written above it and after the Arabic numeral with which it is indicated [4].</w:t>
      </w:r>
    </w:p>
    <w:p w14:paraId="5BB45CD1" w14:textId="3159A3AE" w:rsidR="00793CC0" w:rsidRDefault="00793CC0" w:rsidP="004564D8">
      <w:pPr>
        <w:ind w:firstLine="567"/>
        <w:jc w:val="both"/>
        <w:rPr>
          <w:szCs w:val="28"/>
          <w:lang w:val="en"/>
        </w:rPr>
      </w:pPr>
    </w:p>
    <w:p w14:paraId="7D6C6110" w14:textId="2DC4FC58" w:rsidR="00793CC0" w:rsidRPr="00793CC0" w:rsidRDefault="00793CC0" w:rsidP="00793CC0">
      <w:pPr>
        <w:ind w:firstLine="567"/>
        <w:jc w:val="center"/>
        <w:rPr>
          <w:szCs w:val="28"/>
        </w:rPr>
      </w:pPr>
      <w:r>
        <w:rPr>
          <w:b/>
          <w:szCs w:val="28"/>
          <w:lang w:val="en-US"/>
        </w:rPr>
        <w:t>Table</w:t>
      </w:r>
      <w:r w:rsidRPr="00793CC0">
        <w:rPr>
          <w:b/>
          <w:szCs w:val="28"/>
        </w:rPr>
        <w:t xml:space="preserve"> 1</w:t>
      </w:r>
      <w:r w:rsidRPr="00793CC0">
        <w:rPr>
          <w:szCs w:val="28"/>
        </w:rPr>
        <w:t xml:space="preserve"> – </w:t>
      </w:r>
      <w:r w:rsidRPr="00793CC0">
        <w:rPr>
          <w:szCs w:val="28"/>
          <w:lang w:val="en"/>
        </w:rPr>
        <w:t>Title of table one</w:t>
      </w:r>
    </w:p>
    <w:p w14:paraId="41D4996D" w14:textId="77777777" w:rsidR="00793CC0" w:rsidRPr="00793CC0" w:rsidRDefault="00793CC0" w:rsidP="00793CC0">
      <w:pPr>
        <w:ind w:firstLine="567"/>
        <w:jc w:val="both"/>
        <w:rPr>
          <w:szCs w:val="28"/>
        </w:rPr>
      </w:pPr>
    </w:p>
    <w:tbl>
      <w:tblPr>
        <w:tblStyle w:val="a7"/>
        <w:tblW w:w="0" w:type="auto"/>
        <w:tblLook w:val="04A0" w:firstRow="1" w:lastRow="0" w:firstColumn="1" w:lastColumn="0" w:noHBand="0" w:noVBand="1"/>
      </w:tblPr>
      <w:tblGrid>
        <w:gridCol w:w="2123"/>
        <w:gridCol w:w="2123"/>
        <w:gridCol w:w="2124"/>
        <w:gridCol w:w="2124"/>
      </w:tblGrid>
      <w:tr w:rsidR="00793CC0" w:rsidRPr="00793CC0" w14:paraId="1B25330E" w14:textId="77777777" w:rsidTr="000737DC">
        <w:tc>
          <w:tcPr>
            <w:tcW w:w="2123" w:type="dxa"/>
          </w:tcPr>
          <w:p w14:paraId="140EB2C2" w14:textId="13A7C175" w:rsidR="00793CC0" w:rsidRPr="00793CC0" w:rsidRDefault="00793CC0" w:rsidP="00793CC0">
            <w:pPr>
              <w:ind w:firstLine="567"/>
              <w:jc w:val="both"/>
              <w:rPr>
                <w:b/>
                <w:szCs w:val="28"/>
              </w:rPr>
            </w:pPr>
            <w:r w:rsidRPr="00793CC0">
              <w:rPr>
                <w:b/>
                <w:szCs w:val="28"/>
                <w:lang w:val="en-US"/>
              </w:rPr>
              <w:t>Text</w:t>
            </w:r>
          </w:p>
        </w:tc>
        <w:tc>
          <w:tcPr>
            <w:tcW w:w="2123" w:type="dxa"/>
          </w:tcPr>
          <w:p w14:paraId="12EC6CE2" w14:textId="36128AE5" w:rsidR="00793CC0" w:rsidRPr="00793CC0" w:rsidRDefault="00793CC0" w:rsidP="00793CC0">
            <w:pPr>
              <w:ind w:firstLine="567"/>
              <w:jc w:val="both"/>
              <w:rPr>
                <w:b/>
                <w:szCs w:val="28"/>
              </w:rPr>
            </w:pPr>
            <w:r w:rsidRPr="00793CC0">
              <w:rPr>
                <w:b/>
                <w:szCs w:val="28"/>
                <w:lang w:val="en-US"/>
              </w:rPr>
              <w:t>Text</w:t>
            </w:r>
          </w:p>
        </w:tc>
        <w:tc>
          <w:tcPr>
            <w:tcW w:w="2124" w:type="dxa"/>
          </w:tcPr>
          <w:p w14:paraId="1319DA9E" w14:textId="77777777" w:rsidR="00793CC0" w:rsidRPr="00793CC0" w:rsidRDefault="00793CC0" w:rsidP="00793CC0">
            <w:pPr>
              <w:ind w:firstLine="567"/>
              <w:jc w:val="both"/>
              <w:rPr>
                <w:b/>
                <w:szCs w:val="28"/>
              </w:rPr>
            </w:pPr>
            <w:r w:rsidRPr="00793CC0">
              <w:rPr>
                <w:b/>
                <w:szCs w:val="28"/>
              </w:rPr>
              <w:t>Т</w:t>
            </w:r>
          </w:p>
        </w:tc>
        <w:tc>
          <w:tcPr>
            <w:tcW w:w="2124" w:type="dxa"/>
          </w:tcPr>
          <w:p w14:paraId="61E4A1EF" w14:textId="77777777" w:rsidR="00793CC0" w:rsidRPr="00793CC0" w:rsidRDefault="00793CC0" w:rsidP="00793CC0">
            <w:pPr>
              <w:ind w:firstLine="567"/>
              <w:jc w:val="both"/>
              <w:rPr>
                <w:b/>
                <w:szCs w:val="28"/>
              </w:rPr>
            </w:pPr>
            <w:r w:rsidRPr="00793CC0">
              <w:rPr>
                <w:b/>
                <w:szCs w:val="28"/>
              </w:rPr>
              <w:t>М/О/С</w:t>
            </w:r>
          </w:p>
        </w:tc>
      </w:tr>
      <w:tr w:rsidR="00793CC0" w:rsidRPr="00793CC0" w14:paraId="526F88EE" w14:textId="77777777" w:rsidTr="000737DC">
        <w:tc>
          <w:tcPr>
            <w:tcW w:w="2123" w:type="dxa"/>
          </w:tcPr>
          <w:p w14:paraId="7D2462C5" w14:textId="77777777" w:rsidR="00793CC0" w:rsidRPr="00793CC0" w:rsidRDefault="00793CC0" w:rsidP="00793CC0">
            <w:pPr>
              <w:ind w:firstLine="567"/>
              <w:jc w:val="both"/>
              <w:rPr>
                <w:szCs w:val="28"/>
              </w:rPr>
            </w:pPr>
          </w:p>
        </w:tc>
        <w:tc>
          <w:tcPr>
            <w:tcW w:w="2123" w:type="dxa"/>
          </w:tcPr>
          <w:p w14:paraId="77EE12BA" w14:textId="77777777" w:rsidR="00793CC0" w:rsidRPr="00793CC0" w:rsidRDefault="00793CC0" w:rsidP="00793CC0">
            <w:pPr>
              <w:ind w:firstLine="567"/>
              <w:jc w:val="both"/>
              <w:rPr>
                <w:szCs w:val="28"/>
              </w:rPr>
            </w:pPr>
          </w:p>
        </w:tc>
        <w:tc>
          <w:tcPr>
            <w:tcW w:w="2124" w:type="dxa"/>
          </w:tcPr>
          <w:p w14:paraId="035170D2" w14:textId="77777777" w:rsidR="00793CC0" w:rsidRPr="00793CC0" w:rsidRDefault="00793CC0" w:rsidP="00793CC0">
            <w:pPr>
              <w:ind w:firstLine="567"/>
              <w:jc w:val="both"/>
              <w:rPr>
                <w:szCs w:val="28"/>
              </w:rPr>
            </w:pPr>
          </w:p>
        </w:tc>
        <w:tc>
          <w:tcPr>
            <w:tcW w:w="2124" w:type="dxa"/>
          </w:tcPr>
          <w:p w14:paraId="6661D685" w14:textId="77777777" w:rsidR="00793CC0" w:rsidRPr="00793CC0" w:rsidRDefault="00793CC0" w:rsidP="00793CC0">
            <w:pPr>
              <w:ind w:firstLine="567"/>
              <w:jc w:val="both"/>
              <w:rPr>
                <w:szCs w:val="28"/>
              </w:rPr>
            </w:pPr>
          </w:p>
        </w:tc>
      </w:tr>
    </w:tbl>
    <w:p w14:paraId="1BE4F06C" w14:textId="77777777" w:rsidR="00793CC0" w:rsidRPr="00793CC0" w:rsidRDefault="00793CC0" w:rsidP="00793CC0">
      <w:pPr>
        <w:ind w:firstLine="567"/>
        <w:jc w:val="both"/>
        <w:rPr>
          <w:b/>
          <w:bCs/>
          <w:szCs w:val="28"/>
        </w:rPr>
      </w:pPr>
    </w:p>
    <w:p w14:paraId="38E83088" w14:textId="14CE2323" w:rsidR="00793CC0" w:rsidRPr="00793CC0" w:rsidRDefault="00793CC0" w:rsidP="00793CC0">
      <w:pPr>
        <w:ind w:firstLine="567"/>
        <w:jc w:val="both"/>
        <w:rPr>
          <w:szCs w:val="28"/>
        </w:rPr>
      </w:pPr>
      <w:r w:rsidRPr="00793CC0">
        <w:rPr>
          <w:b/>
          <w:bCs/>
          <w:szCs w:val="28"/>
          <w:lang w:val="en"/>
        </w:rPr>
        <w:t>Legend</w:t>
      </w:r>
      <w:r w:rsidRPr="00793CC0">
        <w:rPr>
          <w:b/>
          <w:bCs/>
          <w:szCs w:val="28"/>
        </w:rPr>
        <w:t xml:space="preserve"> </w:t>
      </w:r>
    </w:p>
    <w:p w14:paraId="3E9AAE51" w14:textId="2E7FA08B" w:rsidR="00793CC0" w:rsidRPr="00793CC0" w:rsidRDefault="00793CC0" w:rsidP="00793CC0">
      <w:pPr>
        <w:ind w:firstLine="567"/>
        <w:jc w:val="both"/>
        <w:rPr>
          <w:szCs w:val="28"/>
        </w:rPr>
      </w:pPr>
      <w:r w:rsidRPr="00793CC0">
        <w:rPr>
          <w:szCs w:val="28"/>
        </w:rPr>
        <w:lastRenderedPageBreak/>
        <w:t xml:space="preserve">Т: </w:t>
      </w:r>
      <w:r w:rsidRPr="00793CC0">
        <w:rPr>
          <w:szCs w:val="28"/>
          <w:lang w:val="en-US"/>
        </w:rPr>
        <w:t>Text</w:t>
      </w:r>
      <w:r w:rsidRPr="00793CC0">
        <w:rPr>
          <w:szCs w:val="28"/>
        </w:rPr>
        <w:t xml:space="preserve">, </w:t>
      </w:r>
      <w:r w:rsidRPr="00793CC0">
        <w:rPr>
          <w:szCs w:val="28"/>
          <w:lang w:val="en-US"/>
        </w:rPr>
        <w:t>text</w:t>
      </w:r>
      <w:r w:rsidRPr="00793CC0">
        <w:rPr>
          <w:szCs w:val="28"/>
        </w:rPr>
        <w:t xml:space="preserve">, </w:t>
      </w:r>
      <w:r w:rsidRPr="00793CC0">
        <w:rPr>
          <w:szCs w:val="28"/>
          <w:lang w:val="en-US"/>
        </w:rPr>
        <w:t>text</w:t>
      </w:r>
    </w:p>
    <w:p w14:paraId="4F1E3C41" w14:textId="4A9EECC2" w:rsidR="00793CC0" w:rsidRPr="00793CC0" w:rsidRDefault="00793CC0" w:rsidP="00793CC0">
      <w:pPr>
        <w:ind w:firstLine="567"/>
        <w:jc w:val="both"/>
        <w:rPr>
          <w:szCs w:val="28"/>
        </w:rPr>
      </w:pPr>
      <w:r w:rsidRPr="00793CC0">
        <w:rPr>
          <w:szCs w:val="28"/>
        </w:rPr>
        <w:t xml:space="preserve">M/O/C: </w:t>
      </w:r>
      <w:r w:rsidR="007A7B22" w:rsidRPr="007A7B22">
        <w:rPr>
          <w:szCs w:val="28"/>
          <w:lang w:val="en"/>
        </w:rPr>
        <w:t>Object data is mandatory (M) or optional (O) or conditional (C)</w:t>
      </w:r>
    </w:p>
    <w:p w14:paraId="56E91750" w14:textId="47302E61" w:rsidR="00793CC0" w:rsidRDefault="00793CC0" w:rsidP="004564D8">
      <w:pPr>
        <w:ind w:firstLine="567"/>
        <w:jc w:val="both"/>
        <w:rPr>
          <w:szCs w:val="28"/>
          <w:lang w:val="en"/>
        </w:rPr>
      </w:pPr>
    </w:p>
    <w:p w14:paraId="1E7022AC" w14:textId="5516AC2A" w:rsidR="00793CC0" w:rsidRDefault="007A7B22" w:rsidP="004564D8">
      <w:pPr>
        <w:ind w:firstLine="567"/>
        <w:jc w:val="both"/>
        <w:rPr>
          <w:szCs w:val="28"/>
          <w:lang w:val="en"/>
        </w:rPr>
      </w:pPr>
      <w:r w:rsidRPr="007A7B22">
        <w:rPr>
          <w:szCs w:val="28"/>
          <w:lang w:val="en"/>
        </w:rPr>
        <w:t>In fig. 1 shows the presentation of material copied from another source. Text, text, text, text, text, text, text, text, text.</w:t>
      </w:r>
    </w:p>
    <w:p w14:paraId="61D7A0DF" w14:textId="28436E25" w:rsidR="007A7B22" w:rsidRDefault="007A7B22" w:rsidP="004564D8">
      <w:pPr>
        <w:ind w:firstLine="567"/>
        <w:jc w:val="both"/>
        <w:rPr>
          <w:szCs w:val="28"/>
          <w:lang w:val="en"/>
        </w:rPr>
      </w:pPr>
    </w:p>
    <w:p w14:paraId="75F9FC20" w14:textId="1135AC99" w:rsidR="007A7B22" w:rsidRPr="00F814FB" w:rsidRDefault="007A7B22" w:rsidP="007A7B22">
      <w:pPr>
        <w:ind w:firstLine="567"/>
        <w:jc w:val="center"/>
        <w:rPr>
          <w:szCs w:val="28"/>
        </w:rPr>
      </w:pPr>
      <w:r>
        <w:rPr>
          <w:noProof/>
          <w:szCs w:val="28"/>
        </w:rPr>
        <w:drawing>
          <wp:inline distT="0" distB="0" distL="0" distR="0" wp14:anchorId="5D34107B" wp14:editId="40477A90">
            <wp:extent cx="859790" cy="951230"/>
            <wp:effectExtent l="0" t="0" r="0" b="127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51230"/>
                    </a:xfrm>
                    <a:prstGeom prst="rect">
                      <a:avLst/>
                    </a:prstGeom>
                    <a:noFill/>
                  </pic:spPr>
                </pic:pic>
              </a:graphicData>
            </a:graphic>
          </wp:inline>
        </w:drawing>
      </w:r>
    </w:p>
    <w:p w14:paraId="124A5103" w14:textId="77777777" w:rsidR="007A7B22" w:rsidRDefault="007A7B22" w:rsidP="007A7B22">
      <w:pPr>
        <w:ind w:firstLine="567"/>
        <w:jc w:val="both"/>
        <w:rPr>
          <w:b/>
          <w:szCs w:val="28"/>
        </w:rPr>
      </w:pPr>
    </w:p>
    <w:p w14:paraId="289C250C" w14:textId="77777777" w:rsidR="007A7B22" w:rsidRPr="007A7B22" w:rsidRDefault="007A7B22" w:rsidP="007A7B22">
      <w:pPr>
        <w:ind w:firstLine="567"/>
        <w:jc w:val="both"/>
        <w:rPr>
          <w:b/>
          <w:szCs w:val="28"/>
        </w:rPr>
      </w:pPr>
      <w:r w:rsidRPr="007A7B22">
        <w:rPr>
          <w:b/>
          <w:bCs/>
          <w:szCs w:val="28"/>
          <w:lang w:val="en"/>
        </w:rPr>
        <w:t>Legend</w:t>
      </w:r>
      <w:r w:rsidRPr="007A7B22">
        <w:rPr>
          <w:b/>
          <w:bCs/>
          <w:szCs w:val="28"/>
        </w:rPr>
        <w:t xml:space="preserve"> </w:t>
      </w:r>
    </w:p>
    <w:p w14:paraId="0D2F6248" w14:textId="7CFF9E06" w:rsidR="007A7B22" w:rsidRPr="00E766EE" w:rsidRDefault="007A7B22" w:rsidP="007A7B22">
      <w:pPr>
        <w:ind w:firstLine="567"/>
        <w:jc w:val="both"/>
        <w:rPr>
          <w:szCs w:val="28"/>
        </w:rPr>
      </w:pPr>
      <w:r w:rsidRPr="00E766EE">
        <w:rPr>
          <w:szCs w:val="28"/>
        </w:rPr>
        <w:t xml:space="preserve">1 </w:t>
      </w:r>
      <w:r w:rsidRPr="007A7B22">
        <w:rPr>
          <w:szCs w:val="28"/>
          <w:lang w:val="en-US"/>
        </w:rPr>
        <w:t>Text</w:t>
      </w:r>
      <w:r w:rsidRPr="007A7B22">
        <w:rPr>
          <w:szCs w:val="28"/>
        </w:rPr>
        <w:t xml:space="preserve">, </w:t>
      </w:r>
      <w:r w:rsidRPr="007A7B22">
        <w:rPr>
          <w:szCs w:val="28"/>
          <w:lang w:val="en-US"/>
        </w:rPr>
        <w:t>text</w:t>
      </w:r>
      <w:r w:rsidRPr="007A7B22">
        <w:rPr>
          <w:szCs w:val="28"/>
        </w:rPr>
        <w:t xml:space="preserve">, </w:t>
      </w:r>
      <w:r w:rsidRPr="007A7B22">
        <w:rPr>
          <w:szCs w:val="28"/>
          <w:lang w:val="en-US"/>
        </w:rPr>
        <w:t>text</w:t>
      </w:r>
      <w:r w:rsidRPr="00E766EE">
        <w:rPr>
          <w:szCs w:val="28"/>
        </w:rPr>
        <w:t>.</w:t>
      </w:r>
    </w:p>
    <w:p w14:paraId="6DDA1049" w14:textId="672CBE45" w:rsidR="007A7B22" w:rsidRDefault="007A7B22" w:rsidP="007A7B22">
      <w:pPr>
        <w:ind w:firstLine="567"/>
        <w:jc w:val="both"/>
        <w:rPr>
          <w:b/>
          <w:bCs/>
          <w:szCs w:val="28"/>
        </w:rPr>
      </w:pPr>
      <w:r w:rsidRPr="007A7B22">
        <w:rPr>
          <w:szCs w:val="28"/>
          <w:lang w:val="en"/>
        </w:rPr>
        <w:t>SOURCE</w:t>
      </w:r>
      <w:r w:rsidRPr="00E766EE">
        <w:rPr>
          <w:szCs w:val="28"/>
        </w:rPr>
        <w:t xml:space="preserve">: </w:t>
      </w:r>
      <w:r w:rsidR="00AA0B39" w:rsidRPr="00AA0B39">
        <w:rPr>
          <w:szCs w:val="28"/>
        </w:rPr>
        <w:t xml:space="preserve">DISSADO, L. A. and FOTHERGILL, J. C. </w:t>
      </w:r>
      <w:r w:rsidR="00AA0B39" w:rsidRPr="00AA0B39">
        <w:rPr>
          <w:i/>
          <w:szCs w:val="28"/>
        </w:rPr>
        <w:t>Electrical Degradation and Breakdown in Polymers</w:t>
      </w:r>
      <w:r w:rsidR="00AA0B39" w:rsidRPr="00AA0B39">
        <w:rPr>
          <w:szCs w:val="28"/>
        </w:rPr>
        <w:t>. London</w:t>
      </w:r>
      <w:r w:rsidR="00AA0B39" w:rsidRPr="00AA0B39">
        <w:rPr>
          <w:szCs w:val="28"/>
          <w:lang w:val="en-US"/>
        </w:rPr>
        <w:t>:</w:t>
      </w:r>
      <w:r w:rsidR="00AA0B39" w:rsidRPr="00AA0B39">
        <w:rPr>
          <w:szCs w:val="28"/>
        </w:rPr>
        <w:t xml:space="preserve"> Peter Peregrins,</w:t>
      </w:r>
      <w:bookmarkStart w:id="0" w:name="_GoBack"/>
      <w:bookmarkEnd w:id="0"/>
      <w:r w:rsidRPr="00E766EE">
        <w:rPr>
          <w:szCs w:val="28"/>
        </w:rPr>
        <w:t xml:space="preserve"> 1992, </w:t>
      </w:r>
      <w:r w:rsidRPr="007A7B22">
        <w:rPr>
          <w:szCs w:val="28"/>
          <w:lang w:val="en"/>
        </w:rPr>
        <w:t>reproduced with the permission of the authors.</w:t>
      </w:r>
    </w:p>
    <w:p w14:paraId="61AFC032" w14:textId="77777777" w:rsidR="007A7B22" w:rsidRDefault="007A7B22" w:rsidP="007A7B22">
      <w:pPr>
        <w:jc w:val="center"/>
        <w:rPr>
          <w:b/>
          <w:bCs/>
          <w:szCs w:val="28"/>
        </w:rPr>
      </w:pPr>
    </w:p>
    <w:p w14:paraId="2E6D2BC9" w14:textId="06E3D3A7" w:rsidR="007A7B22" w:rsidRPr="007A7B22" w:rsidRDefault="007A7B22" w:rsidP="007A7B22">
      <w:pPr>
        <w:jc w:val="center"/>
        <w:rPr>
          <w:szCs w:val="28"/>
        </w:rPr>
      </w:pPr>
      <w:r w:rsidRPr="007A7B22">
        <w:rPr>
          <w:b/>
          <w:bCs/>
          <w:szCs w:val="28"/>
          <w:lang w:val="en"/>
        </w:rPr>
        <w:t xml:space="preserve">Figure 1 </w:t>
      </w:r>
      <w:r w:rsidRPr="007A7B22">
        <w:rPr>
          <w:bCs/>
          <w:szCs w:val="28"/>
          <w:lang w:val="en"/>
        </w:rPr>
        <w:t>– Title of figure one</w:t>
      </w:r>
    </w:p>
    <w:p w14:paraId="2D358DE5" w14:textId="77777777" w:rsidR="007A7B22" w:rsidRPr="00F814FB" w:rsidRDefault="007A7B22" w:rsidP="007A7B22">
      <w:pPr>
        <w:ind w:firstLine="567"/>
        <w:jc w:val="both"/>
        <w:rPr>
          <w:szCs w:val="28"/>
        </w:rPr>
      </w:pPr>
    </w:p>
    <w:p w14:paraId="3DE540D5" w14:textId="26E519DE" w:rsidR="007A7B22" w:rsidRDefault="007A7B22" w:rsidP="007A7B22">
      <w:pPr>
        <w:ind w:firstLine="567"/>
        <w:jc w:val="both"/>
        <w:rPr>
          <w:szCs w:val="28"/>
          <w:lang w:val="en"/>
        </w:rPr>
      </w:pPr>
      <w:r w:rsidRPr="007A7B22">
        <w:rPr>
          <w:szCs w:val="28"/>
          <w:lang w:val="en"/>
        </w:rPr>
        <w:t>Text, text, text [5], text, text, text, text, text, text, text, text, text, text, text, text, text [6], text, text. Text, text, text, text, text, text, text, text, text, text, text, text, text, text, text, text, text, text.</w:t>
      </w:r>
    </w:p>
    <w:p w14:paraId="36ED5D00" w14:textId="19FA2083" w:rsidR="007A7B22" w:rsidRDefault="007A7B22" w:rsidP="004564D8">
      <w:pPr>
        <w:ind w:firstLine="567"/>
        <w:jc w:val="both"/>
        <w:rPr>
          <w:szCs w:val="28"/>
          <w:lang w:val="en-US"/>
        </w:rPr>
      </w:pPr>
    </w:p>
    <w:p w14:paraId="2BBE070D" w14:textId="6CBFB17C" w:rsidR="007A7B22" w:rsidRPr="007A7B22" w:rsidRDefault="007A7B22" w:rsidP="004564D8">
      <w:pPr>
        <w:ind w:firstLine="567"/>
        <w:jc w:val="both"/>
        <w:rPr>
          <w:b/>
          <w:szCs w:val="28"/>
          <w:lang w:val="en-US"/>
        </w:rPr>
      </w:pPr>
      <w:r w:rsidRPr="007A7B22">
        <w:rPr>
          <w:b/>
          <w:szCs w:val="28"/>
          <w:lang w:val="en"/>
        </w:rPr>
        <w:t>Acknowledgments and funding</w:t>
      </w:r>
    </w:p>
    <w:p w14:paraId="691B9209" w14:textId="17492C44" w:rsidR="00155CA9" w:rsidRDefault="007A7B22" w:rsidP="004564D8">
      <w:pPr>
        <w:ind w:firstLine="567"/>
        <w:jc w:val="both"/>
        <w:rPr>
          <w:szCs w:val="28"/>
        </w:rPr>
      </w:pPr>
      <w:r w:rsidRPr="007A7B22">
        <w:rPr>
          <w:szCs w:val="28"/>
          <w:lang w:val="en"/>
        </w:rPr>
        <w:t>The report was prepared with the financial support of the National Science Program "Security and Defense", financed by the Ministry of Education and Science of the Republic of Bulgaria, in implementation of the Decision of the Council of Ministers of the Republic of Bulgaria No. 731 of 21.10.2021.</w:t>
      </w:r>
    </w:p>
    <w:p w14:paraId="1D9F40A0" w14:textId="1D0AD8DE" w:rsidR="007A7B22" w:rsidRDefault="007A7B22" w:rsidP="004564D8">
      <w:pPr>
        <w:ind w:firstLine="567"/>
        <w:jc w:val="both"/>
        <w:rPr>
          <w:szCs w:val="28"/>
        </w:rPr>
      </w:pPr>
    </w:p>
    <w:p w14:paraId="442E90CB" w14:textId="245E04A2" w:rsidR="00E71CE0" w:rsidRPr="00E71CE0" w:rsidRDefault="00E71CE0" w:rsidP="004564D8">
      <w:pPr>
        <w:ind w:firstLine="567"/>
        <w:jc w:val="both"/>
        <w:rPr>
          <w:b/>
          <w:szCs w:val="28"/>
        </w:rPr>
      </w:pPr>
      <w:r w:rsidRPr="00E71CE0">
        <w:rPr>
          <w:b/>
          <w:szCs w:val="28"/>
          <w:lang w:val="en"/>
        </w:rPr>
        <w:t>NOTES:</w:t>
      </w:r>
    </w:p>
    <w:p w14:paraId="7A93EA1D" w14:textId="77777777" w:rsidR="00E71CE0" w:rsidRPr="00E71CE0" w:rsidRDefault="00E71CE0" w:rsidP="00E71CE0">
      <w:pPr>
        <w:ind w:firstLine="567"/>
        <w:jc w:val="both"/>
        <w:rPr>
          <w:szCs w:val="28"/>
          <w:lang w:val="en-US"/>
        </w:rPr>
      </w:pPr>
      <w:r w:rsidRPr="00E71CE0">
        <w:rPr>
          <w:szCs w:val="28"/>
          <w:lang w:val="en-US"/>
        </w:rPr>
        <w:t xml:space="preserve">[1] </w:t>
      </w:r>
      <w:r w:rsidRPr="00E71CE0">
        <w:rPr>
          <w:bCs/>
          <w:szCs w:val="28"/>
          <w:lang w:val="en-US"/>
        </w:rPr>
        <w:t xml:space="preserve">STRINGER, John A., et al. </w:t>
      </w:r>
      <w:r w:rsidRPr="00E71CE0">
        <w:rPr>
          <w:bCs/>
          <w:i/>
          <w:szCs w:val="28"/>
          <w:lang w:val="en-US"/>
        </w:rPr>
        <w:t xml:space="preserve">Reduction of RF-induced sample heating with a scroll coil resonator structure for solid-state NMR probes. </w:t>
      </w:r>
      <w:r w:rsidRPr="00E71CE0">
        <w:rPr>
          <w:bCs/>
          <w:szCs w:val="28"/>
          <w:lang w:val="en-US"/>
        </w:rPr>
        <w:t xml:space="preserve">Online. Journal of Magnetic Resonance. Elsevier. vol. 173, no. 1 (March 2005), pp. 40–48. Available from: </w:t>
      </w:r>
      <w:hyperlink r:id="rId9">
        <w:r w:rsidRPr="00E71CE0">
          <w:rPr>
            <w:rStyle w:val="a9"/>
            <w:bCs/>
            <w:szCs w:val="28"/>
            <w:lang w:val="en-US"/>
          </w:rPr>
          <w:t>https://doi.org/10.1016/j.jmr.2004.11.015</w:t>
        </w:r>
      </w:hyperlink>
      <w:r w:rsidRPr="00E71CE0">
        <w:rPr>
          <w:bCs/>
          <w:szCs w:val="28"/>
          <w:lang w:val="en-US"/>
        </w:rPr>
        <w:t>. [viewed 2016-06-06].</w:t>
      </w:r>
    </w:p>
    <w:p w14:paraId="178948FB" w14:textId="27D09B5D" w:rsidR="00E71CE0" w:rsidRPr="00E71CE0" w:rsidRDefault="00E71CE0" w:rsidP="00E71CE0">
      <w:pPr>
        <w:ind w:firstLine="567"/>
        <w:jc w:val="both"/>
        <w:rPr>
          <w:szCs w:val="28"/>
          <w:lang w:val="en-US"/>
        </w:rPr>
      </w:pPr>
      <w:r w:rsidRPr="00E71CE0">
        <w:rPr>
          <w:szCs w:val="28"/>
          <w:lang w:val="en-US"/>
        </w:rPr>
        <w:t>[2]</w:t>
      </w:r>
      <w:r w:rsidRPr="00E71CE0">
        <w:rPr>
          <w:szCs w:val="28"/>
        </w:rPr>
        <w:t xml:space="preserve"> </w:t>
      </w:r>
      <w:r w:rsidRPr="00E71CE0">
        <w:rPr>
          <w:szCs w:val="28"/>
          <w:lang w:val="en"/>
        </w:rPr>
        <w:t>For more information see</w:t>
      </w:r>
      <w:r w:rsidRPr="00E71CE0">
        <w:rPr>
          <w:szCs w:val="28"/>
        </w:rPr>
        <w:t>:</w:t>
      </w:r>
      <w:r w:rsidRPr="00E71CE0">
        <w:rPr>
          <w:szCs w:val="28"/>
          <w:lang w:val="en-US"/>
        </w:rPr>
        <w:t xml:space="preserve"> </w:t>
      </w:r>
      <w:r w:rsidR="0061239B" w:rsidRPr="0061239B">
        <w:rPr>
          <w:bCs/>
          <w:i/>
          <w:iCs/>
          <w:szCs w:val="28"/>
        </w:rPr>
        <w:t>Е</w:t>
      </w:r>
      <w:r w:rsidR="0061239B">
        <w:rPr>
          <w:bCs/>
          <w:i/>
          <w:iCs/>
          <w:szCs w:val="28"/>
          <w:lang w:val="en-US"/>
        </w:rPr>
        <w:t>vropeyski</w:t>
      </w:r>
      <w:r w:rsidR="0061239B" w:rsidRPr="0061239B">
        <w:rPr>
          <w:bCs/>
          <w:i/>
          <w:iCs/>
          <w:szCs w:val="28"/>
        </w:rPr>
        <w:t xml:space="preserve"> </w:t>
      </w:r>
      <w:r w:rsidR="0061239B">
        <w:rPr>
          <w:bCs/>
          <w:i/>
          <w:iCs/>
          <w:szCs w:val="28"/>
          <w:lang w:val="en-US"/>
        </w:rPr>
        <w:t>praven</w:t>
      </w:r>
      <w:r w:rsidR="0061239B" w:rsidRPr="0061239B">
        <w:rPr>
          <w:bCs/>
          <w:i/>
          <w:iCs/>
          <w:szCs w:val="28"/>
        </w:rPr>
        <w:t xml:space="preserve"> </w:t>
      </w:r>
      <w:r w:rsidR="0061239B">
        <w:rPr>
          <w:bCs/>
          <w:i/>
          <w:iCs/>
          <w:szCs w:val="28"/>
          <w:lang w:val="en-US"/>
        </w:rPr>
        <w:t>pregled</w:t>
      </w:r>
      <w:r w:rsidR="0061239B" w:rsidRPr="0061239B">
        <w:rPr>
          <w:bCs/>
          <w:i/>
          <w:iCs/>
          <w:szCs w:val="28"/>
        </w:rPr>
        <w:t>.</w:t>
      </w:r>
      <w:r w:rsidR="0061239B" w:rsidRPr="0061239B">
        <w:rPr>
          <w:bCs/>
          <w:szCs w:val="28"/>
        </w:rPr>
        <w:t xml:space="preserve"> </w:t>
      </w:r>
      <w:r w:rsidR="0061239B">
        <w:rPr>
          <w:bCs/>
          <w:szCs w:val="28"/>
          <w:lang w:val="en-US"/>
        </w:rPr>
        <w:t>Sofiya</w:t>
      </w:r>
      <w:r w:rsidR="0061239B" w:rsidRPr="0061239B">
        <w:rPr>
          <w:bCs/>
          <w:szCs w:val="28"/>
        </w:rPr>
        <w:t xml:space="preserve">: </w:t>
      </w:r>
      <w:r w:rsidR="0061239B">
        <w:rPr>
          <w:bCs/>
          <w:szCs w:val="28"/>
          <w:lang w:val="en-US"/>
        </w:rPr>
        <w:t>Balgarska</w:t>
      </w:r>
      <w:r w:rsidR="0061239B" w:rsidRPr="0061239B">
        <w:rPr>
          <w:bCs/>
          <w:szCs w:val="28"/>
        </w:rPr>
        <w:t xml:space="preserve"> </w:t>
      </w:r>
      <w:r w:rsidR="0061239B">
        <w:rPr>
          <w:bCs/>
          <w:szCs w:val="28"/>
          <w:lang w:val="en-US"/>
        </w:rPr>
        <w:t>asotsiatsia</w:t>
      </w:r>
      <w:r w:rsidR="0061239B">
        <w:rPr>
          <w:bCs/>
          <w:szCs w:val="28"/>
        </w:rPr>
        <w:t xml:space="preserve"> </w:t>
      </w:r>
      <w:r w:rsidR="0061239B">
        <w:rPr>
          <w:bCs/>
          <w:szCs w:val="28"/>
          <w:lang w:val="en-US"/>
        </w:rPr>
        <w:t>za</w:t>
      </w:r>
      <w:r w:rsidR="0061239B" w:rsidRPr="0061239B">
        <w:rPr>
          <w:bCs/>
          <w:szCs w:val="28"/>
        </w:rPr>
        <w:t xml:space="preserve"> </w:t>
      </w:r>
      <w:r w:rsidR="0061239B">
        <w:rPr>
          <w:bCs/>
          <w:szCs w:val="28"/>
          <w:lang w:val="en-US"/>
        </w:rPr>
        <w:t>evropeysko</w:t>
      </w:r>
      <w:r w:rsidR="0061239B" w:rsidRPr="0061239B">
        <w:rPr>
          <w:bCs/>
          <w:szCs w:val="28"/>
        </w:rPr>
        <w:t xml:space="preserve"> </w:t>
      </w:r>
      <w:r w:rsidR="0061239B">
        <w:rPr>
          <w:bCs/>
          <w:szCs w:val="28"/>
          <w:lang w:val="en-US"/>
        </w:rPr>
        <w:t>pravo</w:t>
      </w:r>
      <w:r w:rsidR="0061239B" w:rsidRPr="0061239B">
        <w:rPr>
          <w:bCs/>
          <w:szCs w:val="28"/>
        </w:rPr>
        <w:t>, 2011. ISSN 1314-4847.</w:t>
      </w:r>
      <w:r w:rsidR="0061239B" w:rsidRPr="0061239B">
        <w:rPr>
          <w:szCs w:val="28"/>
        </w:rPr>
        <w:t xml:space="preserve"> </w:t>
      </w:r>
      <w:r w:rsidR="00A86FF2" w:rsidRPr="00A86FF2">
        <w:rPr>
          <w:szCs w:val="28"/>
        </w:rPr>
        <w:t xml:space="preserve">[In Bulgarian]. </w:t>
      </w:r>
      <w:r w:rsidR="0061239B">
        <w:rPr>
          <w:szCs w:val="28"/>
        </w:rPr>
        <w:t>(</w:t>
      </w:r>
      <w:r w:rsidRPr="00E71CE0">
        <w:rPr>
          <w:bCs/>
          <w:i/>
          <w:iCs/>
          <w:szCs w:val="28"/>
        </w:rPr>
        <w:t>Европейски правен преглед.</w:t>
      </w:r>
      <w:r w:rsidRPr="00E71CE0">
        <w:rPr>
          <w:bCs/>
          <w:szCs w:val="28"/>
        </w:rPr>
        <w:t xml:space="preserve"> София: Българска асоциация за европейско право, 2011. ISSN 1314-4847.</w:t>
      </w:r>
      <w:r w:rsidR="0061239B">
        <w:rPr>
          <w:bCs/>
          <w:szCs w:val="28"/>
        </w:rPr>
        <w:t>)</w:t>
      </w:r>
    </w:p>
    <w:p w14:paraId="08C19523" w14:textId="77777777" w:rsidR="00E71CE0" w:rsidRPr="00E71CE0" w:rsidRDefault="00E71CE0" w:rsidP="00E71CE0">
      <w:pPr>
        <w:ind w:firstLine="567"/>
        <w:jc w:val="both"/>
        <w:rPr>
          <w:szCs w:val="28"/>
        </w:rPr>
      </w:pPr>
      <w:r w:rsidRPr="00E71CE0">
        <w:rPr>
          <w:szCs w:val="28"/>
          <w:lang w:val="en-US"/>
        </w:rPr>
        <w:t>[</w:t>
      </w:r>
      <w:r w:rsidRPr="00E71CE0">
        <w:rPr>
          <w:szCs w:val="28"/>
        </w:rPr>
        <w:t>3</w:t>
      </w:r>
      <w:r w:rsidRPr="00E71CE0">
        <w:rPr>
          <w:szCs w:val="28"/>
          <w:lang w:val="en-US"/>
        </w:rPr>
        <w:t>]</w:t>
      </w:r>
      <w:r w:rsidRPr="00E71CE0">
        <w:rPr>
          <w:szCs w:val="28"/>
        </w:rPr>
        <w:t xml:space="preserve"> </w:t>
      </w:r>
      <w:r w:rsidRPr="00E71CE0">
        <w:rPr>
          <w:i/>
          <w:szCs w:val="28"/>
          <w:lang w:val="en-US"/>
        </w:rPr>
        <w:t xml:space="preserve">Australasian Journal of Educational Technology. </w:t>
      </w:r>
      <w:r w:rsidRPr="00E71CE0">
        <w:rPr>
          <w:szCs w:val="28"/>
          <w:lang w:val="en-US"/>
        </w:rPr>
        <w:t>Online</w:t>
      </w:r>
      <w:r w:rsidRPr="00E71CE0">
        <w:rPr>
          <w:i/>
          <w:szCs w:val="28"/>
          <w:lang w:val="en-US"/>
        </w:rPr>
        <w:t xml:space="preserve">. </w:t>
      </w:r>
      <w:r w:rsidRPr="00E71CE0">
        <w:rPr>
          <w:szCs w:val="28"/>
          <w:lang w:val="en-US"/>
        </w:rPr>
        <w:t xml:space="preserve">vol. 16 (Winter 2000), no. 2. Tugun, QLD: ASCILITE, 1985–. ISSN 1449-5554. </w:t>
      </w:r>
      <w:r w:rsidRPr="00E71CE0">
        <w:rPr>
          <w:szCs w:val="28"/>
          <w:lang w:val="en-US"/>
        </w:rPr>
        <w:lastRenderedPageBreak/>
        <w:t xml:space="preserve">Available from: </w:t>
      </w:r>
      <w:hyperlink r:id="rId10">
        <w:r w:rsidRPr="00E71CE0">
          <w:rPr>
            <w:rStyle w:val="a9"/>
            <w:szCs w:val="28"/>
            <w:lang w:val="en-US"/>
          </w:rPr>
          <w:t>https://ajet.org.au/index.php/AJET/issue/view/67</w:t>
        </w:r>
      </w:hyperlink>
      <w:r w:rsidRPr="00E71CE0">
        <w:rPr>
          <w:szCs w:val="28"/>
          <w:lang w:val="en-US"/>
        </w:rPr>
        <w:t>. [viewed 2018-02-12].</w:t>
      </w:r>
    </w:p>
    <w:p w14:paraId="05830BED" w14:textId="4082129A" w:rsidR="00E71CE0" w:rsidRPr="00A55A09" w:rsidRDefault="00E71CE0" w:rsidP="00E71CE0">
      <w:pPr>
        <w:ind w:firstLine="567"/>
        <w:jc w:val="both"/>
        <w:rPr>
          <w:szCs w:val="28"/>
        </w:rPr>
      </w:pPr>
      <w:r w:rsidRPr="00E71CE0">
        <w:rPr>
          <w:szCs w:val="28"/>
          <w:lang w:val="en-US"/>
        </w:rPr>
        <w:t>[</w:t>
      </w:r>
      <w:r w:rsidRPr="00E71CE0">
        <w:rPr>
          <w:szCs w:val="28"/>
          <w:lang w:bidi="bg-BG"/>
        </w:rPr>
        <w:t>4</w:t>
      </w:r>
      <w:r w:rsidRPr="00E71CE0">
        <w:rPr>
          <w:szCs w:val="28"/>
          <w:lang w:val="en-US"/>
        </w:rPr>
        <w:t>]</w:t>
      </w:r>
      <w:r w:rsidRPr="00E71CE0">
        <w:rPr>
          <w:szCs w:val="28"/>
        </w:rPr>
        <w:t xml:space="preserve"> </w:t>
      </w:r>
      <w:r w:rsidR="00A55A09">
        <w:rPr>
          <w:szCs w:val="28"/>
          <w:lang w:val="en-US"/>
        </w:rPr>
        <w:t xml:space="preserve">BDS ISO 7144:2011, </w:t>
      </w:r>
      <w:r w:rsidR="00A55A09" w:rsidRPr="00A55A09">
        <w:rPr>
          <w:i/>
          <w:szCs w:val="28"/>
          <w:lang w:val="en-US"/>
        </w:rPr>
        <w:t>Dokumentatsiya. Oformyane na disertatsii I podobni dokumenti</w:t>
      </w:r>
      <w:r w:rsidR="00A55A09">
        <w:rPr>
          <w:szCs w:val="28"/>
          <w:lang w:val="en-US"/>
        </w:rPr>
        <w:t xml:space="preserve"> </w:t>
      </w:r>
      <w:r w:rsidR="00A55A09" w:rsidRPr="00A55A09">
        <w:rPr>
          <w:szCs w:val="28"/>
        </w:rPr>
        <w:t>[In Bulgarian].</w:t>
      </w:r>
      <w:r w:rsidR="00A55A09">
        <w:rPr>
          <w:szCs w:val="28"/>
          <w:lang w:val="en-US"/>
        </w:rPr>
        <w:t xml:space="preserve"> </w:t>
      </w:r>
      <w:r w:rsidR="00A55A09">
        <w:rPr>
          <w:szCs w:val="28"/>
        </w:rPr>
        <w:t>(</w:t>
      </w:r>
      <w:r w:rsidRPr="00E71CE0">
        <w:rPr>
          <w:szCs w:val="28"/>
          <w:lang w:bidi="bg-BG"/>
        </w:rPr>
        <w:t xml:space="preserve">БДС </w:t>
      </w:r>
      <w:r w:rsidRPr="00E71CE0">
        <w:rPr>
          <w:szCs w:val="28"/>
        </w:rPr>
        <w:t xml:space="preserve">ISO </w:t>
      </w:r>
      <w:r w:rsidRPr="00E71CE0">
        <w:rPr>
          <w:szCs w:val="28"/>
          <w:lang w:bidi="bg-BG"/>
        </w:rPr>
        <w:t xml:space="preserve">7144:2011, </w:t>
      </w:r>
      <w:r w:rsidRPr="00E71CE0">
        <w:rPr>
          <w:i/>
          <w:szCs w:val="28"/>
          <w:lang w:bidi="bg-BG"/>
        </w:rPr>
        <w:t>Документация. Оформяне на дисертации и подобни документи</w:t>
      </w:r>
      <w:r w:rsidR="00A55A09" w:rsidRPr="00A55A09">
        <w:rPr>
          <w:szCs w:val="28"/>
          <w:lang w:bidi="bg-BG"/>
        </w:rPr>
        <w:t>)</w:t>
      </w:r>
    </w:p>
    <w:p w14:paraId="0F6D3D05" w14:textId="2B069554" w:rsidR="00E71CE0" w:rsidRPr="00E71CE0" w:rsidRDefault="00E71CE0" w:rsidP="00E71CE0">
      <w:pPr>
        <w:ind w:firstLine="567"/>
        <w:jc w:val="both"/>
        <w:rPr>
          <w:szCs w:val="28"/>
        </w:rPr>
      </w:pPr>
      <w:r w:rsidRPr="00E71CE0">
        <w:rPr>
          <w:szCs w:val="28"/>
          <w:lang w:val="en-US"/>
        </w:rPr>
        <w:t>[</w:t>
      </w:r>
      <w:r w:rsidRPr="00E71CE0">
        <w:rPr>
          <w:szCs w:val="28"/>
        </w:rPr>
        <w:t>5</w:t>
      </w:r>
      <w:r w:rsidRPr="00E71CE0">
        <w:rPr>
          <w:szCs w:val="28"/>
          <w:lang w:val="en-US"/>
        </w:rPr>
        <w:t>]</w:t>
      </w:r>
      <w:r w:rsidRPr="00E71CE0">
        <w:rPr>
          <w:szCs w:val="28"/>
        </w:rPr>
        <w:t xml:space="preserve"> </w:t>
      </w:r>
      <w:r w:rsidRPr="00E71CE0">
        <w:rPr>
          <w:szCs w:val="28"/>
          <w:lang w:val="en"/>
        </w:rPr>
        <w:t>Text, text, text, text, text, text, text, text, text, text, text, text, text</w:t>
      </w:r>
      <w:r>
        <w:rPr>
          <w:szCs w:val="28"/>
        </w:rPr>
        <w:t xml:space="preserve">, </w:t>
      </w:r>
      <w:r w:rsidRPr="00E71CE0">
        <w:rPr>
          <w:szCs w:val="28"/>
          <w:lang w:val="en"/>
        </w:rPr>
        <w:t>text, text, text, text, text, text, text, text, text, text, text, text, text</w:t>
      </w:r>
      <w:r w:rsidRPr="00E71CE0">
        <w:rPr>
          <w:szCs w:val="28"/>
        </w:rPr>
        <w:t>.</w:t>
      </w:r>
    </w:p>
    <w:p w14:paraId="3EDE8E54" w14:textId="1C4D2D0D" w:rsidR="00E71CE0" w:rsidRDefault="00E71CE0" w:rsidP="00E71CE0">
      <w:pPr>
        <w:ind w:firstLine="567"/>
        <w:jc w:val="both"/>
        <w:rPr>
          <w:szCs w:val="28"/>
        </w:rPr>
      </w:pPr>
      <w:r w:rsidRPr="00E71CE0">
        <w:rPr>
          <w:szCs w:val="28"/>
          <w:lang w:val="en-US"/>
        </w:rPr>
        <w:t>[</w:t>
      </w:r>
      <w:r w:rsidRPr="00E71CE0">
        <w:rPr>
          <w:szCs w:val="28"/>
        </w:rPr>
        <w:t>6</w:t>
      </w:r>
      <w:r w:rsidRPr="00E71CE0">
        <w:rPr>
          <w:szCs w:val="28"/>
          <w:lang w:val="en-US"/>
        </w:rPr>
        <w:t>]</w:t>
      </w:r>
      <w:r w:rsidRPr="00E71CE0">
        <w:rPr>
          <w:szCs w:val="28"/>
        </w:rPr>
        <w:t xml:space="preserve"> </w:t>
      </w:r>
      <w:r w:rsidRPr="00E71CE0">
        <w:rPr>
          <w:bCs/>
          <w:szCs w:val="28"/>
          <w:lang w:val="en"/>
        </w:rPr>
        <w:t>STRINGER, note 1, p. 45.</w:t>
      </w:r>
    </w:p>
    <w:p w14:paraId="7B1451DB" w14:textId="77777777" w:rsidR="00E71CE0" w:rsidRDefault="00E71CE0" w:rsidP="004564D8">
      <w:pPr>
        <w:ind w:firstLine="567"/>
        <w:jc w:val="both"/>
        <w:rPr>
          <w:szCs w:val="28"/>
        </w:rPr>
      </w:pPr>
    </w:p>
    <w:p w14:paraId="3A07BFAC" w14:textId="39CA4CF0" w:rsidR="007E2105" w:rsidRPr="00E46609" w:rsidRDefault="00552353" w:rsidP="004564D8">
      <w:pPr>
        <w:ind w:firstLine="567"/>
        <w:jc w:val="both"/>
        <w:rPr>
          <w:b/>
          <w:szCs w:val="28"/>
        </w:rPr>
      </w:pPr>
      <w:r w:rsidRPr="00E46609">
        <w:rPr>
          <w:b/>
          <w:szCs w:val="28"/>
          <w:lang w:val="en-US"/>
        </w:rPr>
        <w:t>REFERENCES</w:t>
      </w:r>
      <w:r w:rsidR="007E2105" w:rsidRPr="00E46609">
        <w:rPr>
          <w:b/>
          <w:szCs w:val="28"/>
        </w:rPr>
        <w:t>:</w:t>
      </w:r>
    </w:p>
    <w:p w14:paraId="6EFA3A86" w14:textId="2265731D" w:rsidR="007249DB" w:rsidRDefault="007249DB" w:rsidP="007249DB">
      <w:pPr>
        <w:ind w:firstLine="567"/>
        <w:jc w:val="both"/>
        <w:rPr>
          <w:szCs w:val="28"/>
          <w:lang w:val="en-US"/>
        </w:rPr>
      </w:pPr>
      <w:r>
        <w:rPr>
          <w:szCs w:val="28"/>
          <w:lang w:val="en-US"/>
        </w:rPr>
        <w:t>1</w:t>
      </w:r>
      <w:r>
        <w:rPr>
          <w:szCs w:val="28"/>
        </w:rPr>
        <w:t>.</w:t>
      </w:r>
      <w:r>
        <w:rPr>
          <w:szCs w:val="28"/>
          <w:lang w:val="en-US"/>
        </w:rPr>
        <w:t xml:space="preserve"> </w:t>
      </w:r>
      <w:r w:rsidRPr="007973BD">
        <w:rPr>
          <w:bCs/>
          <w:i/>
          <w:szCs w:val="28"/>
          <w:lang w:val="en-US"/>
        </w:rPr>
        <w:t xml:space="preserve">Australasian Journal of Educational Technology. </w:t>
      </w:r>
      <w:r w:rsidRPr="007973BD">
        <w:rPr>
          <w:bCs/>
          <w:szCs w:val="28"/>
          <w:lang w:val="en-US"/>
        </w:rPr>
        <w:t>Online</w:t>
      </w:r>
      <w:r w:rsidRPr="007973BD">
        <w:rPr>
          <w:bCs/>
          <w:i/>
          <w:szCs w:val="28"/>
          <w:lang w:val="en-US"/>
        </w:rPr>
        <w:t xml:space="preserve">. </w:t>
      </w:r>
      <w:r w:rsidRPr="007973BD">
        <w:rPr>
          <w:bCs/>
          <w:szCs w:val="28"/>
          <w:lang w:val="en-US"/>
        </w:rPr>
        <w:t xml:space="preserve">vol. 16 (Winter 2000), no. 2. Tugun, QLD: ASCILITE, 1985–. ISSN 1449-5554. Available from: </w:t>
      </w:r>
      <w:hyperlink r:id="rId11">
        <w:r w:rsidRPr="007973BD">
          <w:rPr>
            <w:rStyle w:val="a9"/>
            <w:bCs/>
            <w:szCs w:val="28"/>
            <w:lang w:val="en-US"/>
          </w:rPr>
          <w:t>https://ajet.org.au/index.php/AJET/issue/view/67</w:t>
        </w:r>
      </w:hyperlink>
      <w:r w:rsidRPr="007973BD">
        <w:rPr>
          <w:bCs/>
          <w:szCs w:val="28"/>
          <w:lang w:val="en-US"/>
        </w:rPr>
        <w:t>. [viewed 2018-02-12].</w:t>
      </w:r>
    </w:p>
    <w:p w14:paraId="6C56CF8A" w14:textId="60CB8026" w:rsidR="007249DB" w:rsidRPr="00694543" w:rsidRDefault="007249DB" w:rsidP="007249DB">
      <w:pPr>
        <w:ind w:firstLine="567"/>
        <w:jc w:val="both"/>
        <w:rPr>
          <w:szCs w:val="28"/>
        </w:rPr>
      </w:pPr>
      <w:r>
        <w:rPr>
          <w:bCs/>
          <w:szCs w:val="28"/>
          <w:lang w:val="en-US"/>
        </w:rPr>
        <w:t>2</w:t>
      </w:r>
      <w:r>
        <w:rPr>
          <w:bCs/>
          <w:szCs w:val="28"/>
        </w:rPr>
        <w:t>.</w:t>
      </w:r>
      <w:r w:rsidRPr="007249DB">
        <w:rPr>
          <w:szCs w:val="28"/>
          <w:lang w:val="en-US"/>
        </w:rPr>
        <w:t xml:space="preserve"> </w:t>
      </w:r>
      <w:r>
        <w:rPr>
          <w:szCs w:val="28"/>
          <w:lang w:val="en-US"/>
        </w:rPr>
        <w:t xml:space="preserve">BDS ISO 7144:2011, </w:t>
      </w:r>
      <w:r w:rsidRPr="00A55A09">
        <w:rPr>
          <w:i/>
          <w:szCs w:val="28"/>
          <w:lang w:val="en-US"/>
        </w:rPr>
        <w:t>Dokumentatsiya. Oformyane na disertatsii I podobni dokumenti</w:t>
      </w:r>
      <w:r>
        <w:rPr>
          <w:szCs w:val="28"/>
          <w:lang w:val="en-US"/>
        </w:rPr>
        <w:t xml:space="preserve"> </w:t>
      </w:r>
      <w:r w:rsidRPr="00A55A09">
        <w:rPr>
          <w:szCs w:val="28"/>
        </w:rPr>
        <w:t>[In Bulgarian].</w:t>
      </w:r>
      <w:r>
        <w:rPr>
          <w:szCs w:val="28"/>
          <w:lang w:val="en-US"/>
        </w:rPr>
        <w:t xml:space="preserve"> </w:t>
      </w:r>
      <w:r>
        <w:rPr>
          <w:szCs w:val="28"/>
        </w:rPr>
        <w:t>(</w:t>
      </w:r>
      <w:r w:rsidRPr="00E71CE0">
        <w:rPr>
          <w:szCs w:val="28"/>
          <w:lang w:bidi="bg-BG"/>
        </w:rPr>
        <w:t xml:space="preserve">БДС </w:t>
      </w:r>
      <w:r w:rsidRPr="00E71CE0">
        <w:rPr>
          <w:szCs w:val="28"/>
        </w:rPr>
        <w:t xml:space="preserve">ISO </w:t>
      </w:r>
      <w:r w:rsidRPr="00E71CE0">
        <w:rPr>
          <w:szCs w:val="28"/>
          <w:lang w:bidi="bg-BG"/>
        </w:rPr>
        <w:t xml:space="preserve">7144:2011, </w:t>
      </w:r>
      <w:r w:rsidRPr="00E71CE0">
        <w:rPr>
          <w:i/>
          <w:szCs w:val="28"/>
          <w:lang w:bidi="bg-BG"/>
        </w:rPr>
        <w:t>Документация. Оформяне на дисертации и подобни документи</w:t>
      </w:r>
      <w:r w:rsidRPr="00A55A09">
        <w:rPr>
          <w:szCs w:val="28"/>
          <w:lang w:bidi="bg-BG"/>
        </w:rPr>
        <w:t>)</w:t>
      </w:r>
    </w:p>
    <w:p w14:paraId="5964D3C6" w14:textId="24D481A9" w:rsidR="007249DB" w:rsidRDefault="007249DB" w:rsidP="007249DB">
      <w:pPr>
        <w:ind w:firstLine="567"/>
        <w:jc w:val="both"/>
        <w:rPr>
          <w:bCs/>
          <w:szCs w:val="28"/>
          <w:lang w:val="en-US"/>
        </w:rPr>
      </w:pPr>
      <w:r>
        <w:rPr>
          <w:bCs/>
          <w:szCs w:val="28"/>
          <w:lang w:val="en-US"/>
        </w:rPr>
        <w:t>3</w:t>
      </w:r>
      <w:r>
        <w:rPr>
          <w:bCs/>
          <w:szCs w:val="28"/>
        </w:rPr>
        <w:t>.</w:t>
      </w:r>
      <w:r>
        <w:rPr>
          <w:bCs/>
          <w:szCs w:val="28"/>
          <w:lang w:val="en-US"/>
        </w:rPr>
        <w:t xml:space="preserve"> </w:t>
      </w:r>
      <w:r w:rsidRPr="007249DB">
        <w:rPr>
          <w:bCs/>
          <w:i/>
          <w:iCs/>
          <w:szCs w:val="28"/>
        </w:rPr>
        <w:t>Е</w:t>
      </w:r>
      <w:r w:rsidRPr="007249DB">
        <w:rPr>
          <w:bCs/>
          <w:i/>
          <w:iCs/>
          <w:szCs w:val="28"/>
          <w:lang w:val="en-US"/>
        </w:rPr>
        <w:t>vropeyski</w:t>
      </w:r>
      <w:r w:rsidRPr="007249DB">
        <w:rPr>
          <w:bCs/>
          <w:i/>
          <w:iCs/>
          <w:szCs w:val="28"/>
        </w:rPr>
        <w:t xml:space="preserve"> </w:t>
      </w:r>
      <w:r w:rsidRPr="007249DB">
        <w:rPr>
          <w:bCs/>
          <w:i/>
          <w:iCs/>
          <w:szCs w:val="28"/>
          <w:lang w:val="en-US"/>
        </w:rPr>
        <w:t>praven</w:t>
      </w:r>
      <w:r w:rsidRPr="007249DB">
        <w:rPr>
          <w:bCs/>
          <w:i/>
          <w:iCs/>
          <w:szCs w:val="28"/>
        </w:rPr>
        <w:t xml:space="preserve"> </w:t>
      </w:r>
      <w:r w:rsidRPr="007249DB">
        <w:rPr>
          <w:bCs/>
          <w:i/>
          <w:iCs/>
          <w:szCs w:val="28"/>
          <w:lang w:val="en-US"/>
        </w:rPr>
        <w:t>pregled</w:t>
      </w:r>
      <w:r w:rsidRPr="007249DB">
        <w:rPr>
          <w:bCs/>
          <w:i/>
          <w:iCs/>
          <w:szCs w:val="28"/>
        </w:rPr>
        <w:t>.</w:t>
      </w:r>
      <w:r w:rsidRPr="007249DB">
        <w:rPr>
          <w:bCs/>
          <w:szCs w:val="28"/>
        </w:rPr>
        <w:t xml:space="preserve"> </w:t>
      </w:r>
      <w:r w:rsidRPr="007249DB">
        <w:rPr>
          <w:bCs/>
          <w:szCs w:val="28"/>
          <w:lang w:val="en-US"/>
        </w:rPr>
        <w:t>Sofiya</w:t>
      </w:r>
      <w:r w:rsidRPr="007249DB">
        <w:rPr>
          <w:bCs/>
          <w:szCs w:val="28"/>
        </w:rPr>
        <w:t xml:space="preserve">: </w:t>
      </w:r>
      <w:r w:rsidRPr="007249DB">
        <w:rPr>
          <w:bCs/>
          <w:szCs w:val="28"/>
          <w:lang w:val="en-US"/>
        </w:rPr>
        <w:t>Balgarska</w:t>
      </w:r>
      <w:r w:rsidRPr="007249DB">
        <w:rPr>
          <w:bCs/>
          <w:szCs w:val="28"/>
        </w:rPr>
        <w:t xml:space="preserve"> </w:t>
      </w:r>
      <w:r w:rsidRPr="007249DB">
        <w:rPr>
          <w:bCs/>
          <w:szCs w:val="28"/>
          <w:lang w:val="en-US"/>
        </w:rPr>
        <w:t>asotsiatsia</w:t>
      </w:r>
      <w:r w:rsidRPr="007249DB">
        <w:rPr>
          <w:bCs/>
          <w:szCs w:val="28"/>
        </w:rPr>
        <w:t xml:space="preserve"> </w:t>
      </w:r>
      <w:r w:rsidRPr="007249DB">
        <w:rPr>
          <w:bCs/>
          <w:szCs w:val="28"/>
          <w:lang w:val="en-US"/>
        </w:rPr>
        <w:t>za</w:t>
      </w:r>
      <w:r w:rsidRPr="007249DB">
        <w:rPr>
          <w:bCs/>
          <w:szCs w:val="28"/>
        </w:rPr>
        <w:t xml:space="preserve"> </w:t>
      </w:r>
      <w:r w:rsidRPr="007249DB">
        <w:rPr>
          <w:bCs/>
          <w:szCs w:val="28"/>
          <w:lang w:val="en-US"/>
        </w:rPr>
        <w:t>evropeysko</w:t>
      </w:r>
      <w:r w:rsidRPr="007249DB">
        <w:rPr>
          <w:bCs/>
          <w:szCs w:val="28"/>
        </w:rPr>
        <w:t xml:space="preserve"> </w:t>
      </w:r>
      <w:r w:rsidRPr="007249DB">
        <w:rPr>
          <w:bCs/>
          <w:szCs w:val="28"/>
          <w:lang w:val="en-US"/>
        </w:rPr>
        <w:t>pravo</w:t>
      </w:r>
      <w:r w:rsidRPr="007249DB">
        <w:rPr>
          <w:bCs/>
          <w:szCs w:val="28"/>
        </w:rPr>
        <w:t>, 2011. ISSN 1314-4847. [In Bulgarian]. (</w:t>
      </w:r>
      <w:r w:rsidRPr="007249DB">
        <w:rPr>
          <w:bCs/>
          <w:i/>
          <w:iCs/>
          <w:szCs w:val="28"/>
        </w:rPr>
        <w:t>Европейски правен преглед.</w:t>
      </w:r>
      <w:r w:rsidRPr="007249DB">
        <w:rPr>
          <w:bCs/>
          <w:szCs w:val="28"/>
        </w:rPr>
        <w:t xml:space="preserve"> София: Българска асоциация за европейско право, 2011. ISSN 1314-4847.)</w:t>
      </w:r>
    </w:p>
    <w:p w14:paraId="089CE7E7" w14:textId="0C1D297A" w:rsidR="007B5909" w:rsidRPr="007B5909" w:rsidRDefault="007249DB" w:rsidP="007249DB">
      <w:pPr>
        <w:pStyle w:val="a3"/>
        <w:ind w:left="0" w:firstLine="567"/>
        <w:jc w:val="both"/>
        <w:rPr>
          <w:szCs w:val="28"/>
        </w:rPr>
      </w:pPr>
      <w:r>
        <w:rPr>
          <w:szCs w:val="28"/>
        </w:rPr>
        <w:t>4.</w:t>
      </w:r>
      <w:r w:rsidRPr="007973BD">
        <w:rPr>
          <w:szCs w:val="28"/>
          <w:lang w:val="en-US"/>
        </w:rPr>
        <w:t xml:space="preserve"> </w:t>
      </w:r>
      <w:r w:rsidRPr="007973BD">
        <w:rPr>
          <w:bCs/>
          <w:szCs w:val="28"/>
          <w:lang w:val="en-US"/>
        </w:rPr>
        <w:t xml:space="preserve">STRINGER, John A., et al. </w:t>
      </w:r>
      <w:r w:rsidRPr="007973BD">
        <w:rPr>
          <w:bCs/>
          <w:i/>
          <w:szCs w:val="28"/>
          <w:lang w:val="en-US"/>
        </w:rPr>
        <w:t xml:space="preserve">Reduction of RF-induced sample heating with a scroll coil resonator structure for solid-state NMR probes. </w:t>
      </w:r>
      <w:r w:rsidRPr="007973BD">
        <w:rPr>
          <w:bCs/>
          <w:szCs w:val="28"/>
          <w:lang w:val="en-US"/>
        </w:rPr>
        <w:t xml:space="preserve">Online. Journal of Magnetic Resonance. Elsevier. vol. 173, no. 1 (March 2005), pp. 40–48. Available from: </w:t>
      </w:r>
      <w:hyperlink r:id="rId12">
        <w:r w:rsidRPr="007973BD">
          <w:rPr>
            <w:rStyle w:val="a9"/>
            <w:bCs/>
            <w:szCs w:val="28"/>
            <w:lang w:val="en-US"/>
          </w:rPr>
          <w:t>https://doi.org/10.1016/j.jmr.2004.11.015</w:t>
        </w:r>
      </w:hyperlink>
      <w:r w:rsidRPr="007973BD">
        <w:rPr>
          <w:bCs/>
          <w:szCs w:val="28"/>
          <w:lang w:val="en-US"/>
        </w:rPr>
        <w:t>. [viewed 2016-06-06].</w:t>
      </w:r>
    </w:p>
    <w:p w14:paraId="5B72EEFF" w14:textId="469D2642" w:rsidR="007B5909" w:rsidRDefault="007B5909" w:rsidP="004564D8">
      <w:pPr>
        <w:ind w:firstLine="567"/>
        <w:jc w:val="both"/>
        <w:rPr>
          <w:szCs w:val="28"/>
        </w:rPr>
      </w:pPr>
    </w:p>
    <w:p w14:paraId="7C3FA055" w14:textId="24C64C6F" w:rsidR="007B5909" w:rsidRDefault="00552353" w:rsidP="004564D8">
      <w:pPr>
        <w:ind w:firstLine="567"/>
        <w:jc w:val="both"/>
        <w:rPr>
          <w:i/>
          <w:iCs/>
          <w:sz w:val="24"/>
        </w:rPr>
      </w:pPr>
      <w:r>
        <w:rPr>
          <w:i/>
          <w:iCs/>
          <w:sz w:val="24"/>
          <w:lang w:val="en-US"/>
        </w:rPr>
        <w:t>Full name of the author</w:t>
      </w:r>
      <w:r w:rsidR="007B5909" w:rsidRPr="00943504">
        <w:rPr>
          <w:i/>
          <w:iCs/>
          <w:sz w:val="24"/>
          <w:lang w:val="en-US"/>
        </w:rPr>
        <w:t xml:space="preserve">, </w:t>
      </w:r>
      <w:r w:rsidR="00943504" w:rsidRPr="00943504">
        <w:rPr>
          <w:i/>
          <w:iCs/>
          <w:sz w:val="24"/>
          <w:lang w:val="en-US"/>
        </w:rPr>
        <w:t>scientific degrees and titles</w:t>
      </w:r>
    </w:p>
    <w:p w14:paraId="29D48EDD" w14:textId="30472700" w:rsidR="007B5909" w:rsidRPr="00943504" w:rsidRDefault="00943504" w:rsidP="004564D8">
      <w:pPr>
        <w:ind w:firstLine="567"/>
        <w:jc w:val="both"/>
        <w:rPr>
          <w:i/>
          <w:iCs/>
          <w:sz w:val="24"/>
          <w:lang w:val="en-US"/>
        </w:rPr>
      </w:pPr>
      <w:r>
        <w:rPr>
          <w:i/>
          <w:iCs/>
          <w:sz w:val="24"/>
          <w:lang w:val="en-US"/>
        </w:rPr>
        <w:t>Workplace</w:t>
      </w:r>
      <w:r w:rsidR="007B5909" w:rsidRPr="007B5909">
        <w:rPr>
          <w:i/>
          <w:iCs/>
          <w:sz w:val="24"/>
        </w:rPr>
        <w:t>,</w:t>
      </w:r>
      <w:r>
        <w:rPr>
          <w:i/>
          <w:iCs/>
          <w:sz w:val="24"/>
          <w:lang w:val="en-US"/>
        </w:rPr>
        <w:t xml:space="preserve"> correspondence address</w:t>
      </w:r>
      <w:r w:rsidR="007B5909" w:rsidRPr="007B5909">
        <w:rPr>
          <w:i/>
          <w:iCs/>
          <w:sz w:val="24"/>
        </w:rPr>
        <w:t xml:space="preserve">, </w:t>
      </w:r>
      <w:r>
        <w:rPr>
          <w:i/>
          <w:iCs/>
          <w:sz w:val="24"/>
          <w:lang w:val="en-US"/>
        </w:rPr>
        <w:t>phone number,</w:t>
      </w:r>
      <w:r w:rsidR="007B5909" w:rsidRPr="007B5909">
        <w:rPr>
          <w:i/>
          <w:iCs/>
          <w:sz w:val="24"/>
        </w:rPr>
        <w:t xml:space="preserve"> e-mail</w:t>
      </w:r>
      <w:r>
        <w:rPr>
          <w:i/>
          <w:iCs/>
          <w:sz w:val="24"/>
          <w:lang w:val="en-US"/>
        </w:rPr>
        <w:t xml:space="preserve"> address</w:t>
      </w:r>
    </w:p>
    <w:sectPr w:rsidR="007B5909" w:rsidRPr="00943504" w:rsidSect="008C77BB">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007CB" w14:textId="77777777" w:rsidR="00A92B98" w:rsidRDefault="00A92B98" w:rsidP="00A0193A">
      <w:r>
        <w:separator/>
      </w:r>
    </w:p>
  </w:endnote>
  <w:endnote w:type="continuationSeparator" w:id="0">
    <w:p w14:paraId="1DF622BF" w14:textId="77777777" w:rsidR="00A92B98" w:rsidRDefault="00A92B98" w:rsidP="00A0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9586" w14:textId="77777777" w:rsidR="00A92B98" w:rsidRDefault="00A92B98" w:rsidP="00A0193A">
      <w:r>
        <w:separator/>
      </w:r>
    </w:p>
  </w:footnote>
  <w:footnote w:type="continuationSeparator" w:id="0">
    <w:p w14:paraId="1294A1CF" w14:textId="77777777" w:rsidR="00A92B98" w:rsidRDefault="00A92B98" w:rsidP="00A01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EB2"/>
    <w:multiLevelType w:val="hybridMultilevel"/>
    <w:tmpl w:val="25D8165C"/>
    <w:lvl w:ilvl="0" w:tplc="D29A176A">
      <w:start w:val="1"/>
      <w:numFmt w:val="decimal"/>
      <w:suff w:val="space"/>
      <w:lvlText w:val="%1."/>
      <w:lvlJc w:val="left"/>
      <w:pPr>
        <w:ind w:left="0" w:firstLine="567"/>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09"/>
    <w:rsid w:val="000D036C"/>
    <w:rsid w:val="001537E6"/>
    <w:rsid w:val="00155CA9"/>
    <w:rsid w:val="001D18BD"/>
    <w:rsid w:val="001E6585"/>
    <w:rsid w:val="00261DCD"/>
    <w:rsid w:val="00274819"/>
    <w:rsid w:val="00297E82"/>
    <w:rsid w:val="002C7177"/>
    <w:rsid w:val="00307C76"/>
    <w:rsid w:val="003322FB"/>
    <w:rsid w:val="00415DF1"/>
    <w:rsid w:val="004564D8"/>
    <w:rsid w:val="00534842"/>
    <w:rsid w:val="00552353"/>
    <w:rsid w:val="005A1B8D"/>
    <w:rsid w:val="0061239B"/>
    <w:rsid w:val="00686EAC"/>
    <w:rsid w:val="006D7048"/>
    <w:rsid w:val="006F38C6"/>
    <w:rsid w:val="007249DB"/>
    <w:rsid w:val="00793CC0"/>
    <w:rsid w:val="007A7B22"/>
    <w:rsid w:val="007B5909"/>
    <w:rsid w:val="007E2105"/>
    <w:rsid w:val="008129C2"/>
    <w:rsid w:val="008B42C6"/>
    <w:rsid w:val="008C77BB"/>
    <w:rsid w:val="008D1109"/>
    <w:rsid w:val="00943504"/>
    <w:rsid w:val="00A0193A"/>
    <w:rsid w:val="00A054C0"/>
    <w:rsid w:val="00A55A09"/>
    <w:rsid w:val="00A86FF2"/>
    <w:rsid w:val="00A92B98"/>
    <w:rsid w:val="00AA0B39"/>
    <w:rsid w:val="00AE0AC2"/>
    <w:rsid w:val="00AE2362"/>
    <w:rsid w:val="00BD084C"/>
    <w:rsid w:val="00E46609"/>
    <w:rsid w:val="00E71CE0"/>
    <w:rsid w:val="00E746D1"/>
    <w:rsid w:val="00E8797D"/>
    <w:rsid w:val="00EE6CD6"/>
    <w:rsid w:val="00EF27EB"/>
    <w:rsid w:val="00EF5F53"/>
    <w:rsid w:val="00F01477"/>
    <w:rsid w:val="00F935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FC01"/>
  <w15:chartTrackingRefBased/>
  <w15:docId w15:val="{ED77863A-2B00-4ACD-86DA-24EB9E1C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D8"/>
    <w:pPr>
      <w:spacing w:after="0" w:line="240" w:lineRule="auto"/>
    </w:pPr>
    <w:rPr>
      <w:rFonts w:ascii="Times New Roman" w:hAnsi="Times New Roman" w:cs="Times New Roman"/>
      <w:sz w:val="28"/>
      <w:szCs w:val="24"/>
      <w:lang w:eastAsia="bg-BG"/>
    </w:rPr>
  </w:style>
  <w:style w:type="paragraph" w:styleId="1">
    <w:name w:val="heading 1"/>
    <w:next w:val="a"/>
    <w:link w:val="10"/>
    <w:autoRedefine/>
    <w:uiPriority w:val="9"/>
    <w:rsid w:val="001E6585"/>
    <w:pPr>
      <w:keepNext/>
      <w:spacing w:after="0" w:line="240" w:lineRule="auto"/>
      <w:ind w:firstLine="567"/>
      <w:jc w:val="center"/>
      <w:outlineLvl w:val="0"/>
    </w:pPr>
    <w:rPr>
      <w:rFonts w:ascii="Times New Roman" w:hAnsi="Times New Roman" w:cs="Times New Roman"/>
      <w:b/>
      <w:bCs/>
      <w:caps/>
      <w:sz w:val="32"/>
      <w:szCs w:val="32"/>
    </w:rPr>
  </w:style>
  <w:style w:type="paragraph" w:styleId="2">
    <w:name w:val="heading 2"/>
    <w:next w:val="a"/>
    <w:link w:val="20"/>
    <w:uiPriority w:val="9"/>
    <w:semiHidden/>
    <w:unhideWhenUsed/>
    <w:qFormat/>
    <w:rsid w:val="008129C2"/>
    <w:pPr>
      <w:keepNext/>
      <w:keepLines/>
      <w:spacing w:before="40"/>
      <w:jc w:val="center"/>
      <w:outlineLvl w:val="1"/>
    </w:pPr>
    <w:rPr>
      <w:rFonts w:ascii="Times New Roman" w:eastAsiaTheme="majorEastAsia" w:hAnsi="Times New Roman" w:cstheme="majorBidi"/>
      <w:b/>
      <w:sz w:val="32"/>
      <w:szCs w:val="26"/>
      <w:lang w:eastAsia="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1E6585"/>
    <w:rPr>
      <w:rFonts w:ascii="Times New Roman" w:eastAsia="Times New Roman" w:hAnsi="Times New Roman" w:cs="Times New Roman"/>
      <w:b/>
      <w:bCs/>
      <w:caps/>
      <w:sz w:val="32"/>
      <w:szCs w:val="32"/>
    </w:rPr>
  </w:style>
  <w:style w:type="character" w:customStyle="1" w:styleId="20">
    <w:name w:val="Заглавие 2 Знак"/>
    <w:basedOn w:val="a0"/>
    <w:link w:val="2"/>
    <w:uiPriority w:val="9"/>
    <w:semiHidden/>
    <w:rsid w:val="008129C2"/>
    <w:rPr>
      <w:rFonts w:ascii="Times New Roman" w:eastAsiaTheme="majorEastAsia" w:hAnsi="Times New Roman" w:cstheme="majorBidi"/>
      <w:b/>
      <w:sz w:val="32"/>
      <w:szCs w:val="26"/>
      <w:lang w:eastAsia="bg-BG"/>
    </w:rPr>
  </w:style>
  <w:style w:type="paragraph" w:styleId="11">
    <w:name w:val="toc 1"/>
    <w:next w:val="a"/>
    <w:autoRedefine/>
    <w:uiPriority w:val="39"/>
    <w:unhideWhenUsed/>
    <w:rsid w:val="00534842"/>
    <w:pPr>
      <w:spacing w:after="0" w:line="240" w:lineRule="auto"/>
    </w:pPr>
    <w:rPr>
      <w:rFonts w:ascii="Times New Roman" w:hAnsi="Times New Roman"/>
      <w:b/>
      <w:sz w:val="28"/>
    </w:rPr>
  </w:style>
  <w:style w:type="paragraph" w:styleId="21">
    <w:name w:val="toc 2"/>
    <w:basedOn w:val="a"/>
    <w:next w:val="a"/>
    <w:autoRedefine/>
    <w:uiPriority w:val="39"/>
    <w:unhideWhenUsed/>
    <w:rsid w:val="00534842"/>
    <w:pPr>
      <w:spacing w:after="100"/>
      <w:ind w:left="221"/>
    </w:pPr>
  </w:style>
  <w:style w:type="paragraph" w:styleId="a3">
    <w:name w:val="List Paragraph"/>
    <w:basedOn w:val="a"/>
    <w:uiPriority w:val="34"/>
    <w:qFormat/>
    <w:rsid w:val="007E2105"/>
    <w:pPr>
      <w:ind w:left="720"/>
      <w:contextualSpacing/>
    </w:pPr>
  </w:style>
  <w:style w:type="paragraph" w:styleId="a4">
    <w:name w:val="footnote text"/>
    <w:link w:val="a5"/>
    <w:autoRedefine/>
    <w:uiPriority w:val="99"/>
    <w:unhideWhenUsed/>
    <w:rsid w:val="004564D8"/>
    <w:pPr>
      <w:spacing w:after="0" w:line="240" w:lineRule="auto"/>
    </w:pPr>
    <w:rPr>
      <w:rFonts w:ascii="Times New Roman" w:hAnsi="Times New Roman" w:cs="Times New Roman"/>
      <w:sz w:val="20"/>
      <w:szCs w:val="20"/>
      <w:lang w:eastAsia="bg-BG"/>
    </w:rPr>
  </w:style>
  <w:style w:type="character" w:customStyle="1" w:styleId="a5">
    <w:name w:val="Текст под линия Знак"/>
    <w:basedOn w:val="a0"/>
    <w:link w:val="a4"/>
    <w:uiPriority w:val="99"/>
    <w:rsid w:val="004564D8"/>
    <w:rPr>
      <w:rFonts w:ascii="Times New Roman" w:hAnsi="Times New Roman" w:cs="Times New Roman"/>
      <w:sz w:val="20"/>
      <w:szCs w:val="20"/>
      <w:lang w:eastAsia="bg-BG"/>
    </w:rPr>
  </w:style>
  <w:style w:type="character" w:styleId="a6">
    <w:name w:val="footnote reference"/>
    <w:basedOn w:val="a0"/>
    <w:uiPriority w:val="99"/>
    <w:semiHidden/>
    <w:unhideWhenUsed/>
    <w:rsid w:val="00A0193A"/>
    <w:rPr>
      <w:vertAlign w:val="superscript"/>
    </w:rPr>
  </w:style>
  <w:style w:type="table" w:styleId="a7">
    <w:name w:val="Table Grid"/>
    <w:basedOn w:val="a1"/>
    <w:uiPriority w:val="39"/>
    <w:rsid w:val="0015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iPriority w:val="35"/>
    <w:unhideWhenUsed/>
    <w:qFormat/>
    <w:rsid w:val="00261DCD"/>
    <w:pPr>
      <w:spacing w:after="200"/>
    </w:pPr>
    <w:rPr>
      <w:i/>
      <w:iCs/>
      <w:color w:val="44546A" w:themeColor="text2"/>
      <w:sz w:val="18"/>
      <w:szCs w:val="18"/>
    </w:rPr>
  </w:style>
  <w:style w:type="character" w:styleId="a9">
    <w:name w:val="Hyperlink"/>
    <w:basedOn w:val="a0"/>
    <w:uiPriority w:val="99"/>
    <w:unhideWhenUsed/>
    <w:rsid w:val="00E71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jmr.2004.11.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jet.org.au/index.php/AJET/issue/view/67" TargetMode="External"/><Relationship Id="rId5" Type="http://schemas.openxmlformats.org/officeDocument/2006/relationships/webSettings" Target="webSettings.xml"/><Relationship Id="rId10" Type="http://schemas.openxmlformats.org/officeDocument/2006/relationships/hyperlink" Target="https://ajet.org.au/index.php/AJET/issue/view/67" TargetMode="External"/><Relationship Id="rId4" Type="http://schemas.openxmlformats.org/officeDocument/2006/relationships/settings" Target="settings.xml"/><Relationship Id="rId9" Type="http://schemas.openxmlformats.org/officeDocument/2006/relationships/hyperlink" Target="https://doi.org/10.1016/j.jmr.2004.11.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E885A-B22F-4200-8327-F0A8598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744</Words>
  <Characters>4246</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 Христова</dc:creator>
  <cp:keywords/>
  <dc:description/>
  <cp:lastModifiedBy>User</cp:lastModifiedBy>
  <cp:revision>20</cp:revision>
  <dcterms:created xsi:type="dcterms:W3CDTF">2022-08-11T07:31:00Z</dcterms:created>
  <dcterms:modified xsi:type="dcterms:W3CDTF">2023-07-11T05:58:00Z</dcterms:modified>
</cp:coreProperties>
</file>